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425F8">
      <w:pPr>
        <w:pStyle w:val="newncpi0"/>
        <w:jc w:val="center"/>
      </w:pPr>
      <w:bookmarkStart w:id="0" w:name="_GoBack"/>
      <w:bookmarkEnd w:id="0"/>
      <w:r>
        <w:t> </w:t>
      </w:r>
    </w:p>
    <w:p w:rsidR="00000000" w:rsidRDefault="001425F8">
      <w:pPr>
        <w:pStyle w:val="newncpi0"/>
        <w:jc w:val="center"/>
      </w:pPr>
      <w:bookmarkStart w:id="1" w:name="a2"/>
      <w:bookmarkEnd w:id="1"/>
      <w:r>
        <w:rPr>
          <w:rStyle w:val="name"/>
        </w:rPr>
        <w:t>РЕШЕНИЕ </w:t>
      </w:r>
      <w:r>
        <w:rPr>
          <w:rStyle w:val="promulgator"/>
        </w:rPr>
        <w:t>ВИТЕБСКОГО ОБЛАСТНОГО ИСПОЛНИТЕЛЬНОГО КОМИТЕТА</w:t>
      </w:r>
    </w:p>
    <w:p w:rsidR="00000000" w:rsidRDefault="001425F8">
      <w:pPr>
        <w:pStyle w:val="newncpi"/>
        <w:jc w:val="center"/>
      </w:pPr>
      <w:r>
        <w:rPr>
          <w:rStyle w:val="datepr"/>
        </w:rPr>
        <w:t>14 марта 2022 г.</w:t>
      </w:r>
      <w:r>
        <w:rPr>
          <w:rStyle w:val="number"/>
        </w:rPr>
        <w:t xml:space="preserve"> № 130</w:t>
      </w:r>
    </w:p>
    <w:p w:rsidR="00000000" w:rsidRDefault="001425F8">
      <w:pPr>
        <w:pStyle w:val="titlencpi"/>
      </w:pPr>
      <w:r>
        <w:rPr>
          <w:color w:val="000080"/>
        </w:rPr>
        <w:t>Об установлении предельных максимальных тарифов на услуги бань общего пользования и душевых</w:t>
      </w:r>
    </w:p>
    <w:p w:rsidR="00000000" w:rsidRDefault="001425F8">
      <w:pPr>
        <w:pStyle w:val="preamble"/>
      </w:pPr>
      <w:r>
        <w:t>На основании</w:t>
      </w:r>
      <w:r>
        <w:t xml:space="preserve"> </w:t>
      </w:r>
      <w:r>
        <w:t>подпункта 2.1 пункта 2 Указа Президента Республики Беларусь от 25 </w:t>
      </w:r>
      <w:r>
        <w:t>февраля 2011 г. № 72 «О некоторых вопросах регулирования цен (тарифов) в Республике Беларусь»,</w:t>
      </w:r>
      <w:r>
        <w:t xml:space="preserve"> </w:t>
      </w:r>
      <w:r>
        <w:t xml:space="preserve">подпункта 1.2 пункта 1 постановления Совета Министров Республики Беларусь от 17 января 2014 г. № 35 «Об утверждении перечней социально значимых товаров (услуг), </w:t>
      </w:r>
      <w:r>
        <w:t>цены (тарифы) на которые регулируются государственными органами, и признании утратившими силу некоторых постановлений Совета Министров Республики Беларусь» Витебский областной исполнительный комитет РЕШИЛ:</w:t>
      </w:r>
    </w:p>
    <w:p w:rsidR="00000000" w:rsidRDefault="001425F8">
      <w:pPr>
        <w:pStyle w:val="point"/>
      </w:pPr>
      <w:bookmarkStart w:id="2" w:name="a3"/>
      <w:bookmarkEnd w:id="2"/>
      <w:r>
        <w:t>1. Установить предельные максимальные тарифы на ок</w:t>
      </w:r>
      <w:r>
        <w:t>азываемые населению услуги бань общего пользования (за исключением разрядов первого и высшего) и душевых, расположенных в населенных пунктах и на территории вне населенных пунктов Витебской области по перечню согласно приложению, за 1 человеко-помывку в сл</w:t>
      </w:r>
      <w:r>
        <w:t>едующих размерах:</w:t>
      </w:r>
    </w:p>
    <w:p w:rsidR="00000000" w:rsidRDefault="001425F8">
      <w:pPr>
        <w:pStyle w:val="underpoint"/>
      </w:pPr>
      <w:r>
        <w:t>1.1. услуги бань общего пользования (за исключением разрядов первого и высшего) за 2 часа:</w:t>
      </w:r>
    </w:p>
    <w:p w:rsidR="00000000" w:rsidRDefault="001425F8">
      <w:pPr>
        <w:pStyle w:val="newncpi"/>
      </w:pPr>
      <w:r>
        <w:t>в городах Витебске, Орше, Полоцке, Новополоцке – 8,00 белорусского рубля;</w:t>
      </w:r>
    </w:p>
    <w:p w:rsidR="00000000" w:rsidRDefault="001425F8">
      <w:pPr>
        <w:pStyle w:val="newncpi"/>
      </w:pPr>
      <w:r>
        <w:t>в сельских населенных пунктах и на территории вне населенных пунктов – 5,</w:t>
      </w:r>
      <w:r>
        <w:t>00 белорусского рубля;</w:t>
      </w:r>
    </w:p>
    <w:p w:rsidR="00000000" w:rsidRDefault="001425F8">
      <w:pPr>
        <w:pStyle w:val="newncpi"/>
      </w:pPr>
      <w:r>
        <w:t>в других населенных пунктах, за исключением указанных в абзацах втором и третьем настоящего подпункта, – 6,50 белорусского рубля;</w:t>
      </w:r>
    </w:p>
    <w:p w:rsidR="00000000" w:rsidRDefault="001425F8">
      <w:pPr>
        <w:pStyle w:val="underpoint"/>
      </w:pPr>
      <w:r>
        <w:t>1.2. услуги душевых за 45 минут:</w:t>
      </w:r>
    </w:p>
    <w:p w:rsidR="00000000" w:rsidRDefault="001425F8">
      <w:pPr>
        <w:pStyle w:val="newncpi"/>
      </w:pPr>
      <w:r>
        <w:t>в городах Витебске, Орше, Полоцке, Новополоцке – 7,50 белорусского руб</w:t>
      </w:r>
      <w:r>
        <w:t>ля;</w:t>
      </w:r>
    </w:p>
    <w:p w:rsidR="00000000" w:rsidRDefault="001425F8">
      <w:pPr>
        <w:pStyle w:val="newncpi"/>
      </w:pPr>
      <w:r>
        <w:t>в сельских населенных пунктах и на территории вне населенных пунктов – 5,00 белорусского рубля;</w:t>
      </w:r>
    </w:p>
    <w:p w:rsidR="00000000" w:rsidRDefault="001425F8">
      <w:pPr>
        <w:pStyle w:val="newncpi"/>
      </w:pPr>
      <w:r>
        <w:t>в других населенных пунктах, за исключением указанных в абзацах втором и третьем настоящего подпункта, – 6,00 белорусского рубля.</w:t>
      </w:r>
    </w:p>
    <w:p w:rsidR="00000000" w:rsidRDefault="001425F8">
      <w:pPr>
        <w:pStyle w:val="point"/>
      </w:pPr>
      <w:r>
        <w:t>2. Признать утратившим сил</w:t>
      </w:r>
      <w:r>
        <w:t>у</w:t>
      </w:r>
      <w:r>
        <w:t xml:space="preserve"> </w:t>
      </w:r>
      <w:r>
        <w:t>решение Витебского областного исполнительного комитета от 3 декабря 2018 г. № 686 «Об установлении предельных максимальных тарифов на услуги бань и душевых».</w:t>
      </w:r>
    </w:p>
    <w:p w:rsidR="00000000" w:rsidRDefault="001425F8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000000" w:rsidRDefault="001425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425F8">
            <w:pPr>
              <w:pStyle w:val="newncpi0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425F8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А.М.Су</w:t>
            </w:r>
            <w:r>
              <w:rPr>
                <w:rStyle w:val="pers"/>
              </w:rPr>
              <w:t>бботин</w:t>
            </w:r>
            <w:proofErr w:type="spellEnd"/>
          </w:p>
        </w:tc>
      </w:tr>
      <w:tr w:rsidR="0000000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425F8">
            <w:pPr>
              <w:pStyle w:val="newncpi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425F8">
            <w:pPr>
              <w:pStyle w:val="newncpi0"/>
              <w:jc w:val="right"/>
            </w:pPr>
            <w:r>
              <w:t> </w:t>
            </w:r>
          </w:p>
        </w:tc>
      </w:tr>
      <w:tr w:rsidR="0000000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425F8">
            <w:pPr>
              <w:pStyle w:val="newncpi0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425F8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А.В.Сысоев</w:t>
            </w:r>
            <w:proofErr w:type="spellEnd"/>
          </w:p>
        </w:tc>
      </w:tr>
    </w:tbl>
    <w:p w:rsidR="00000000" w:rsidRDefault="001425F8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3276"/>
      </w:tblGrid>
      <w:tr w:rsidR="00000000">
        <w:tc>
          <w:tcPr>
            <w:tcW w:w="348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25F8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51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425F8">
            <w:pPr>
              <w:pStyle w:val="append1"/>
            </w:pPr>
            <w:bookmarkStart w:id="3" w:name="a1"/>
            <w:bookmarkEnd w:id="3"/>
            <w:r>
              <w:t>Приложение</w:t>
            </w:r>
          </w:p>
          <w:p w:rsidR="00000000" w:rsidRDefault="001425F8">
            <w:pPr>
              <w:pStyle w:val="append"/>
            </w:pPr>
            <w:r>
              <w:t xml:space="preserve">к решению </w:t>
            </w:r>
            <w:r>
              <w:br/>
              <w:t xml:space="preserve">Витебского областного </w:t>
            </w:r>
            <w:r>
              <w:br/>
              <w:t xml:space="preserve">исполнительного комитета </w:t>
            </w:r>
            <w:r>
              <w:br/>
              <w:t xml:space="preserve">14.03.2022 № 130 </w:t>
            </w:r>
          </w:p>
        </w:tc>
      </w:tr>
    </w:tbl>
    <w:p w:rsidR="00000000" w:rsidRDefault="001425F8">
      <w:pPr>
        <w:pStyle w:val="titlep"/>
      </w:pPr>
      <w:r>
        <w:t>ПЕРЕЧЕНЬ</w:t>
      </w:r>
      <w:r>
        <w:br/>
        <w:t>населенных пунктов и территорий вне населенных пунктов Витебской области</w:t>
      </w:r>
    </w:p>
    <w:p w:rsidR="00000000" w:rsidRDefault="001425F8">
      <w:pPr>
        <w:pStyle w:val="point"/>
      </w:pPr>
      <w:r>
        <w:t>1. Населенные пункты:</w:t>
      </w:r>
    </w:p>
    <w:p w:rsidR="00000000" w:rsidRDefault="001425F8">
      <w:pPr>
        <w:pStyle w:val="underpoint"/>
      </w:pPr>
      <w:r>
        <w:t>1.1. </w:t>
      </w:r>
      <w:proofErr w:type="spellStart"/>
      <w:r>
        <w:t>Бешенковичского</w:t>
      </w:r>
      <w:proofErr w:type="spellEnd"/>
      <w:r>
        <w:t xml:space="preserve"> района</w:t>
      </w:r>
    </w:p>
    <w:p w:rsidR="00000000" w:rsidRDefault="001425F8">
      <w:pPr>
        <w:pStyle w:val="underpoint"/>
      </w:pPr>
      <w:r>
        <w:t>1.2. </w:t>
      </w:r>
      <w:proofErr w:type="spellStart"/>
      <w:r>
        <w:t>Браславского</w:t>
      </w:r>
      <w:proofErr w:type="spellEnd"/>
      <w:r>
        <w:t xml:space="preserve"> района</w:t>
      </w:r>
    </w:p>
    <w:p w:rsidR="00000000" w:rsidRDefault="001425F8">
      <w:pPr>
        <w:pStyle w:val="underpoint"/>
      </w:pPr>
      <w:r>
        <w:t>1.3. </w:t>
      </w:r>
      <w:proofErr w:type="spellStart"/>
      <w:r>
        <w:t>Верхнедвинского</w:t>
      </w:r>
      <w:proofErr w:type="spellEnd"/>
      <w:r>
        <w:t xml:space="preserve"> района</w:t>
      </w:r>
    </w:p>
    <w:p w:rsidR="00000000" w:rsidRDefault="001425F8">
      <w:pPr>
        <w:pStyle w:val="underpoint"/>
      </w:pPr>
      <w:r>
        <w:t>1.4. Витебского района</w:t>
      </w:r>
    </w:p>
    <w:p w:rsidR="00000000" w:rsidRDefault="001425F8">
      <w:pPr>
        <w:pStyle w:val="underpoint"/>
      </w:pPr>
      <w:r>
        <w:t>1.5. </w:t>
      </w:r>
      <w:proofErr w:type="spellStart"/>
      <w:r>
        <w:t>Глубокского</w:t>
      </w:r>
      <w:proofErr w:type="spellEnd"/>
      <w:r>
        <w:t xml:space="preserve"> района</w:t>
      </w:r>
    </w:p>
    <w:p w:rsidR="00000000" w:rsidRDefault="001425F8">
      <w:pPr>
        <w:pStyle w:val="underpoint"/>
      </w:pPr>
      <w:r>
        <w:t>1.6. </w:t>
      </w:r>
      <w:proofErr w:type="spellStart"/>
      <w:r>
        <w:t>Городокского</w:t>
      </w:r>
      <w:proofErr w:type="spellEnd"/>
      <w:r>
        <w:t xml:space="preserve"> района</w:t>
      </w:r>
    </w:p>
    <w:p w:rsidR="00000000" w:rsidRDefault="001425F8">
      <w:pPr>
        <w:pStyle w:val="underpoint"/>
      </w:pPr>
      <w:r>
        <w:t>1.7. Докшицкого района</w:t>
      </w:r>
    </w:p>
    <w:p w:rsidR="00000000" w:rsidRDefault="001425F8">
      <w:pPr>
        <w:pStyle w:val="underpoint"/>
      </w:pPr>
      <w:r>
        <w:t>1.8. </w:t>
      </w:r>
      <w:proofErr w:type="spellStart"/>
      <w:r>
        <w:t>Дубровенского</w:t>
      </w:r>
      <w:proofErr w:type="spellEnd"/>
      <w:r>
        <w:t xml:space="preserve"> района</w:t>
      </w:r>
    </w:p>
    <w:p w:rsidR="00000000" w:rsidRDefault="001425F8">
      <w:pPr>
        <w:pStyle w:val="underpoint"/>
      </w:pPr>
      <w:r>
        <w:t>1.9. Лепельского района</w:t>
      </w:r>
    </w:p>
    <w:p w:rsidR="00000000" w:rsidRDefault="001425F8">
      <w:pPr>
        <w:pStyle w:val="underpoint"/>
      </w:pPr>
      <w:r>
        <w:t>1.10. </w:t>
      </w:r>
      <w:proofErr w:type="spellStart"/>
      <w:r>
        <w:t>Лиозненского</w:t>
      </w:r>
      <w:proofErr w:type="spellEnd"/>
      <w:r>
        <w:t xml:space="preserve"> района</w:t>
      </w:r>
    </w:p>
    <w:p w:rsidR="00000000" w:rsidRDefault="001425F8">
      <w:pPr>
        <w:pStyle w:val="underpoint"/>
      </w:pPr>
      <w:r>
        <w:t>1.11. </w:t>
      </w:r>
      <w:proofErr w:type="spellStart"/>
      <w:r>
        <w:t>Миорского</w:t>
      </w:r>
      <w:proofErr w:type="spellEnd"/>
      <w:r>
        <w:t xml:space="preserve"> района</w:t>
      </w:r>
    </w:p>
    <w:p w:rsidR="00000000" w:rsidRDefault="001425F8">
      <w:pPr>
        <w:pStyle w:val="underpoint"/>
      </w:pPr>
      <w:r>
        <w:t>1.12. Оршанского района</w:t>
      </w:r>
    </w:p>
    <w:p w:rsidR="00000000" w:rsidRDefault="001425F8">
      <w:pPr>
        <w:pStyle w:val="underpoint"/>
      </w:pPr>
      <w:r>
        <w:t>1.13. Полоцкого района</w:t>
      </w:r>
    </w:p>
    <w:p w:rsidR="00000000" w:rsidRDefault="001425F8">
      <w:pPr>
        <w:pStyle w:val="underpoint"/>
      </w:pPr>
      <w:r>
        <w:t>1.14. </w:t>
      </w:r>
      <w:proofErr w:type="spellStart"/>
      <w:r>
        <w:t>Поставского</w:t>
      </w:r>
      <w:proofErr w:type="spellEnd"/>
      <w:r>
        <w:t xml:space="preserve"> района</w:t>
      </w:r>
    </w:p>
    <w:p w:rsidR="00000000" w:rsidRDefault="001425F8">
      <w:pPr>
        <w:pStyle w:val="underpoint"/>
      </w:pPr>
      <w:r>
        <w:t>1.15. </w:t>
      </w:r>
      <w:proofErr w:type="spellStart"/>
      <w:r>
        <w:t>Россонского</w:t>
      </w:r>
      <w:proofErr w:type="spellEnd"/>
      <w:r>
        <w:t xml:space="preserve"> района</w:t>
      </w:r>
    </w:p>
    <w:p w:rsidR="00000000" w:rsidRDefault="001425F8">
      <w:pPr>
        <w:pStyle w:val="underpoint"/>
      </w:pPr>
      <w:r>
        <w:t>1.16. </w:t>
      </w:r>
      <w:proofErr w:type="spellStart"/>
      <w:r>
        <w:t>Сенненского</w:t>
      </w:r>
      <w:proofErr w:type="spellEnd"/>
      <w:r>
        <w:t xml:space="preserve"> района</w:t>
      </w:r>
    </w:p>
    <w:p w:rsidR="00000000" w:rsidRDefault="001425F8">
      <w:pPr>
        <w:pStyle w:val="underpoint"/>
      </w:pPr>
      <w:r>
        <w:t>1.17. </w:t>
      </w:r>
      <w:proofErr w:type="spellStart"/>
      <w:r>
        <w:t>Толочинского</w:t>
      </w:r>
      <w:proofErr w:type="spellEnd"/>
      <w:r>
        <w:t xml:space="preserve"> района</w:t>
      </w:r>
    </w:p>
    <w:p w:rsidR="00000000" w:rsidRDefault="001425F8">
      <w:pPr>
        <w:pStyle w:val="underpoint"/>
      </w:pPr>
      <w:r>
        <w:t>1.18. </w:t>
      </w:r>
      <w:proofErr w:type="spellStart"/>
      <w:r>
        <w:t>Ушачского</w:t>
      </w:r>
      <w:proofErr w:type="spellEnd"/>
      <w:r>
        <w:t xml:space="preserve"> района</w:t>
      </w:r>
    </w:p>
    <w:p w:rsidR="00000000" w:rsidRDefault="001425F8">
      <w:pPr>
        <w:pStyle w:val="underpoint"/>
      </w:pPr>
      <w:r>
        <w:t>1.19. Чашникского района</w:t>
      </w:r>
    </w:p>
    <w:p w:rsidR="00000000" w:rsidRDefault="001425F8">
      <w:pPr>
        <w:pStyle w:val="underpoint"/>
      </w:pPr>
      <w:r>
        <w:t>1.20. </w:t>
      </w:r>
      <w:proofErr w:type="spellStart"/>
      <w:r>
        <w:t>Шарковщинского</w:t>
      </w:r>
      <w:proofErr w:type="spellEnd"/>
      <w:r>
        <w:t xml:space="preserve"> района</w:t>
      </w:r>
    </w:p>
    <w:p w:rsidR="00000000" w:rsidRDefault="001425F8">
      <w:pPr>
        <w:pStyle w:val="underpoint"/>
      </w:pPr>
      <w:r>
        <w:lastRenderedPageBreak/>
        <w:t>1.21. </w:t>
      </w:r>
      <w:proofErr w:type="spellStart"/>
      <w:r>
        <w:t>Шумилинск</w:t>
      </w:r>
      <w:r>
        <w:t>ого</w:t>
      </w:r>
      <w:proofErr w:type="spellEnd"/>
      <w:r>
        <w:t xml:space="preserve"> района</w:t>
      </w:r>
    </w:p>
    <w:p w:rsidR="00000000" w:rsidRDefault="001425F8">
      <w:pPr>
        <w:pStyle w:val="point"/>
      </w:pPr>
      <w:r>
        <w:t>2. Территории вне населенных пунктов:</w:t>
      </w:r>
    </w:p>
    <w:p w:rsidR="00000000" w:rsidRDefault="001425F8">
      <w:pPr>
        <w:pStyle w:val="underpoint"/>
      </w:pPr>
      <w:r>
        <w:t>2.1. </w:t>
      </w:r>
      <w:proofErr w:type="spellStart"/>
      <w:r>
        <w:t>Бешенковичского</w:t>
      </w:r>
      <w:proofErr w:type="spellEnd"/>
      <w:r>
        <w:t xml:space="preserve"> района</w:t>
      </w:r>
    </w:p>
    <w:p w:rsidR="00000000" w:rsidRDefault="001425F8">
      <w:pPr>
        <w:pStyle w:val="underpoint"/>
      </w:pPr>
      <w:r>
        <w:t>2.2. </w:t>
      </w:r>
      <w:proofErr w:type="spellStart"/>
      <w:r>
        <w:t>Браславского</w:t>
      </w:r>
      <w:proofErr w:type="spellEnd"/>
      <w:r>
        <w:t xml:space="preserve"> района</w:t>
      </w:r>
    </w:p>
    <w:p w:rsidR="00000000" w:rsidRDefault="001425F8">
      <w:pPr>
        <w:pStyle w:val="underpoint"/>
      </w:pPr>
      <w:r>
        <w:t>2.3. </w:t>
      </w:r>
      <w:proofErr w:type="spellStart"/>
      <w:r>
        <w:t>Верхнедвинского</w:t>
      </w:r>
      <w:proofErr w:type="spellEnd"/>
      <w:r>
        <w:t xml:space="preserve"> района</w:t>
      </w:r>
    </w:p>
    <w:p w:rsidR="00000000" w:rsidRDefault="001425F8">
      <w:pPr>
        <w:pStyle w:val="underpoint"/>
      </w:pPr>
      <w:r>
        <w:t>2.4. Витебского района</w:t>
      </w:r>
    </w:p>
    <w:p w:rsidR="00000000" w:rsidRDefault="001425F8">
      <w:pPr>
        <w:pStyle w:val="underpoint"/>
      </w:pPr>
      <w:r>
        <w:t>2.5. </w:t>
      </w:r>
      <w:proofErr w:type="spellStart"/>
      <w:r>
        <w:t>Глубокского</w:t>
      </w:r>
      <w:proofErr w:type="spellEnd"/>
      <w:r>
        <w:t xml:space="preserve"> района</w:t>
      </w:r>
    </w:p>
    <w:p w:rsidR="00000000" w:rsidRDefault="001425F8">
      <w:pPr>
        <w:pStyle w:val="underpoint"/>
      </w:pPr>
      <w:r>
        <w:t>2.6. </w:t>
      </w:r>
      <w:proofErr w:type="spellStart"/>
      <w:r>
        <w:t>Городокского</w:t>
      </w:r>
      <w:proofErr w:type="spellEnd"/>
      <w:r>
        <w:t xml:space="preserve"> района</w:t>
      </w:r>
    </w:p>
    <w:p w:rsidR="00000000" w:rsidRDefault="001425F8">
      <w:pPr>
        <w:pStyle w:val="underpoint"/>
      </w:pPr>
      <w:r>
        <w:t>2.7. Докшицкого района</w:t>
      </w:r>
    </w:p>
    <w:p w:rsidR="00000000" w:rsidRDefault="001425F8">
      <w:pPr>
        <w:pStyle w:val="underpoint"/>
      </w:pPr>
      <w:r>
        <w:t>2.8. </w:t>
      </w:r>
      <w:proofErr w:type="spellStart"/>
      <w:r>
        <w:t>Дубровенского</w:t>
      </w:r>
      <w:proofErr w:type="spellEnd"/>
      <w:r>
        <w:t xml:space="preserve"> района</w:t>
      </w:r>
    </w:p>
    <w:p w:rsidR="00000000" w:rsidRDefault="001425F8">
      <w:pPr>
        <w:pStyle w:val="underpoint"/>
      </w:pPr>
      <w:r>
        <w:t>2.9. </w:t>
      </w:r>
      <w:r>
        <w:t>Лепельского района</w:t>
      </w:r>
    </w:p>
    <w:p w:rsidR="00000000" w:rsidRDefault="001425F8">
      <w:pPr>
        <w:pStyle w:val="underpoint"/>
      </w:pPr>
      <w:r>
        <w:t>2.10. </w:t>
      </w:r>
      <w:proofErr w:type="spellStart"/>
      <w:r>
        <w:t>Лиозненского</w:t>
      </w:r>
      <w:proofErr w:type="spellEnd"/>
      <w:r>
        <w:t xml:space="preserve"> района</w:t>
      </w:r>
    </w:p>
    <w:p w:rsidR="00000000" w:rsidRDefault="001425F8">
      <w:pPr>
        <w:pStyle w:val="underpoint"/>
      </w:pPr>
      <w:r>
        <w:t>2.11. </w:t>
      </w:r>
      <w:proofErr w:type="spellStart"/>
      <w:r>
        <w:t>Миорского</w:t>
      </w:r>
      <w:proofErr w:type="spellEnd"/>
      <w:r>
        <w:t xml:space="preserve"> района</w:t>
      </w:r>
    </w:p>
    <w:p w:rsidR="00000000" w:rsidRDefault="001425F8">
      <w:pPr>
        <w:pStyle w:val="underpoint"/>
      </w:pPr>
      <w:r>
        <w:t>2.12. Оршанского района</w:t>
      </w:r>
    </w:p>
    <w:p w:rsidR="00000000" w:rsidRDefault="001425F8">
      <w:pPr>
        <w:pStyle w:val="underpoint"/>
      </w:pPr>
      <w:r>
        <w:t>2.13. Полоцкого района</w:t>
      </w:r>
    </w:p>
    <w:p w:rsidR="00000000" w:rsidRDefault="001425F8">
      <w:pPr>
        <w:pStyle w:val="underpoint"/>
      </w:pPr>
      <w:r>
        <w:t>2.14. </w:t>
      </w:r>
      <w:proofErr w:type="spellStart"/>
      <w:r>
        <w:t>Поставского</w:t>
      </w:r>
      <w:proofErr w:type="spellEnd"/>
      <w:r>
        <w:t xml:space="preserve"> района</w:t>
      </w:r>
    </w:p>
    <w:p w:rsidR="00000000" w:rsidRDefault="001425F8">
      <w:pPr>
        <w:pStyle w:val="underpoint"/>
      </w:pPr>
      <w:r>
        <w:t>2.15. </w:t>
      </w:r>
      <w:proofErr w:type="spellStart"/>
      <w:r>
        <w:t>Россонского</w:t>
      </w:r>
      <w:proofErr w:type="spellEnd"/>
      <w:r>
        <w:t xml:space="preserve"> района</w:t>
      </w:r>
    </w:p>
    <w:p w:rsidR="00000000" w:rsidRDefault="001425F8">
      <w:pPr>
        <w:pStyle w:val="underpoint"/>
      </w:pPr>
      <w:r>
        <w:t>2.16. </w:t>
      </w:r>
      <w:proofErr w:type="spellStart"/>
      <w:r>
        <w:t>Сенненского</w:t>
      </w:r>
      <w:proofErr w:type="spellEnd"/>
      <w:r>
        <w:t xml:space="preserve"> района</w:t>
      </w:r>
    </w:p>
    <w:p w:rsidR="00000000" w:rsidRDefault="001425F8">
      <w:pPr>
        <w:pStyle w:val="underpoint"/>
      </w:pPr>
      <w:r>
        <w:t>2.17. </w:t>
      </w:r>
      <w:proofErr w:type="spellStart"/>
      <w:r>
        <w:t>Толочинского</w:t>
      </w:r>
      <w:proofErr w:type="spellEnd"/>
      <w:r>
        <w:t xml:space="preserve"> района</w:t>
      </w:r>
    </w:p>
    <w:p w:rsidR="00000000" w:rsidRDefault="001425F8">
      <w:pPr>
        <w:pStyle w:val="underpoint"/>
      </w:pPr>
      <w:r>
        <w:t>2.18. </w:t>
      </w:r>
      <w:proofErr w:type="spellStart"/>
      <w:r>
        <w:t>Ушачского</w:t>
      </w:r>
      <w:proofErr w:type="spellEnd"/>
      <w:r>
        <w:t xml:space="preserve"> района</w:t>
      </w:r>
    </w:p>
    <w:p w:rsidR="00000000" w:rsidRDefault="001425F8">
      <w:pPr>
        <w:pStyle w:val="underpoint"/>
      </w:pPr>
      <w:r>
        <w:t>2.19. </w:t>
      </w:r>
      <w:r>
        <w:t>Чашникского района</w:t>
      </w:r>
    </w:p>
    <w:p w:rsidR="00000000" w:rsidRDefault="001425F8">
      <w:pPr>
        <w:pStyle w:val="underpoint"/>
      </w:pPr>
      <w:r>
        <w:t>2.20. </w:t>
      </w:r>
      <w:proofErr w:type="spellStart"/>
      <w:r>
        <w:t>Шарковщинского</w:t>
      </w:r>
      <w:proofErr w:type="spellEnd"/>
      <w:r>
        <w:t xml:space="preserve"> района</w:t>
      </w:r>
    </w:p>
    <w:p w:rsidR="00000000" w:rsidRDefault="001425F8">
      <w:pPr>
        <w:pStyle w:val="underpoint"/>
      </w:pPr>
      <w:r>
        <w:t>2.21. </w:t>
      </w:r>
      <w:proofErr w:type="spellStart"/>
      <w:r>
        <w:t>Шумилинского</w:t>
      </w:r>
      <w:proofErr w:type="spellEnd"/>
      <w:r>
        <w:t xml:space="preserve"> района</w:t>
      </w:r>
    </w:p>
    <w:p w:rsidR="00000000" w:rsidRDefault="001425F8">
      <w:pPr>
        <w:pStyle w:val="point"/>
      </w:pPr>
      <w:r>
        <w:t>3. Города:</w:t>
      </w:r>
    </w:p>
    <w:p w:rsidR="00000000" w:rsidRDefault="001425F8">
      <w:pPr>
        <w:pStyle w:val="underpoint"/>
      </w:pPr>
      <w:r>
        <w:t>3.1. Витебск</w:t>
      </w:r>
    </w:p>
    <w:p w:rsidR="00000000" w:rsidRDefault="001425F8">
      <w:pPr>
        <w:pStyle w:val="underpoint"/>
      </w:pPr>
      <w:r>
        <w:t>3.2. Новополоцк</w:t>
      </w:r>
    </w:p>
    <w:p w:rsidR="00000000" w:rsidRDefault="001425F8">
      <w:pPr>
        <w:pStyle w:val="newncpi"/>
      </w:pPr>
      <w:r>
        <w:lastRenderedPageBreak/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EC"/>
    <w:rsid w:val="001262EC"/>
    <w:rsid w:val="0014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52A22-5599-487D-9C14-124B8993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</w:style>
  <w:style w:type="character" w:customStyle="1" w:styleId="promulgator">
    <w:name w:val="promulgator"/>
    <w:basedOn w:val="a0"/>
  </w:style>
  <w:style w:type="paragraph" w:customStyle="1" w:styleId="newncpi">
    <w:name w:val="newncp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epr">
    <w:name w:val="datepr"/>
    <w:basedOn w:val="a0"/>
  </w:style>
  <w:style w:type="character" w:customStyle="1" w:styleId="number">
    <w:name w:val="number"/>
    <w:basedOn w:val="a0"/>
  </w:style>
  <w:style w:type="paragraph" w:customStyle="1" w:styleId="titlencpi">
    <w:name w:val="titlencp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ost">
    <w:name w:val="post"/>
    <w:basedOn w:val="a0"/>
  </w:style>
  <w:style w:type="character" w:customStyle="1" w:styleId="pers">
    <w:name w:val="pers"/>
    <w:basedOn w:val="a0"/>
  </w:style>
  <w:style w:type="paragraph" w:customStyle="1" w:styleId="append1">
    <w:name w:val="appen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p">
    <w:name w:val="title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2025-06-09T10:05:00Z</dcterms:created>
  <dcterms:modified xsi:type="dcterms:W3CDTF">2025-06-09T10:05:00Z</dcterms:modified>
</cp:coreProperties>
</file>