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326"/>
        <w:tblW w:w="0" w:type="auto"/>
        <w:tblLook w:val="04A0"/>
      </w:tblPr>
      <w:tblGrid>
        <w:gridCol w:w="3397"/>
        <w:gridCol w:w="6096"/>
      </w:tblGrid>
      <w:tr w:rsidR="00950FEB" w:rsidTr="003E6C13">
        <w:tc>
          <w:tcPr>
            <w:tcW w:w="9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CFB" w:themeFill="accent5" w:themeFillTint="33"/>
          </w:tcPr>
          <w:p w:rsidR="00950FEB" w:rsidRPr="00BE45DA" w:rsidRDefault="00950FEB" w:rsidP="00ED206D">
            <w:pPr>
              <w:jc w:val="center"/>
              <w:rPr>
                <w:b/>
                <w:i/>
                <w:sz w:val="30"/>
                <w:szCs w:val="30"/>
              </w:rPr>
            </w:pPr>
            <w:r w:rsidRPr="00950FEB">
              <w:rPr>
                <w:b/>
                <w:sz w:val="30"/>
                <w:szCs w:val="30"/>
              </w:rPr>
              <w:t xml:space="preserve">Информация о </w:t>
            </w:r>
            <w:r w:rsidR="00BE2485">
              <w:rPr>
                <w:b/>
                <w:sz w:val="30"/>
                <w:szCs w:val="30"/>
              </w:rPr>
              <w:t>типичных нарушениях</w:t>
            </w:r>
            <w:r w:rsidR="00BA1D02">
              <w:rPr>
                <w:b/>
                <w:sz w:val="30"/>
                <w:szCs w:val="30"/>
              </w:rPr>
              <w:t>, совершенных субъектами хозяйствования, выявленных по результатам контрольных мероприятий, проведенных в 1 полугодии 2024 года</w:t>
            </w:r>
          </w:p>
          <w:p w:rsidR="00950FEB" w:rsidRPr="00515E34" w:rsidRDefault="00950FEB" w:rsidP="00950FEB">
            <w:pPr>
              <w:jc w:val="center"/>
              <w:rPr>
                <w:sz w:val="28"/>
              </w:rPr>
            </w:pPr>
          </w:p>
        </w:tc>
      </w:tr>
      <w:tr w:rsidR="00950FEB" w:rsidTr="003E6C13"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  <w:shd w:val="clear" w:color="auto" w:fill="EAE5EB" w:themeFill="background2"/>
          </w:tcPr>
          <w:p w:rsidR="00950FEB" w:rsidRPr="002B326C" w:rsidRDefault="0067395E" w:rsidP="00950FEB">
            <w:pPr>
              <w:jc w:val="center"/>
              <w:rPr>
                <w:b/>
                <w:iCs/>
                <w:sz w:val="28"/>
              </w:rPr>
            </w:pPr>
            <w:r w:rsidRPr="002B326C">
              <w:rPr>
                <w:b/>
                <w:iCs/>
                <w:sz w:val="28"/>
              </w:rPr>
              <w:t>Н</w:t>
            </w:r>
            <w:r w:rsidR="00FB2862" w:rsidRPr="002B326C">
              <w:rPr>
                <w:b/>
                <w:iCs/>
                <w:sz w:val="28"/>
              </w:rPr>
              <w:t>арушения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EAE5EB" w:themeFill="background2"/>
          </w:tcPr>
          <w:p w:rsidR="00950FEB" w:rsidRPr="002B326C" w:rsidRDefault="00B07B55" w:rsidP="00950FEB">
            <w:pPr>
              <w:jc w:val="center"/>
              <w:rPr>
                <w:b/>
                <w:iCs/>
                <w:sz w:val="28"/>
              </w:rPr>
            </w:pPr>
            <w:r w:rsidRPr="002B326C">
              <w:rPr>
                <w:b/>
                <w:iCs/>
                <w:sz w:val="28"/>
              </w:rPr>
              <w:t>Причины нарушени</w:t>
            </w:r>
            <w:r w:rsidR="000E63E0" w:rsidRPr="002B326C">
              <w:rPr>
                <w:b/>
                <w:iCs/>
                <w:sz w:val="28"/>
              </w:rPr>
              <w:t>й</w:t>
            </w:r>
          </w:p>
        </w:tc>
      </w:tr>
      <w:tr w:rsidR="00BF3133" w:rsidRPr="007456F0" w:rsidTr="00BF3133">
        <w:trPr>
          <w:trHeight w:val="844"/>
        </w:trPr>
        <w:tc>
          <w:tcPr>
            <w:tcW w:w="3397" w:type="dxa"/>
            <w:vMerge w:val="restart"/>
            <w:shd w:val="clear" w:color="auto" w:fill="DDE5F7" w:themeFill="accent6" w:themeFillTint="33"/>
          </w:tcPr>
          <w:p w:rsidR="00BF3133" w:rsidRDefault="00BF3133" w:rsidP="006D25CA">
            <w:pPr>
              <w:rPr>
                <w:color w:val="FF0000"/>
              </w:rPr>
            </w:pPr>
          </w:p>
          <w:p w:rsidR="00BF3133" w:rsidRDefault="00BF3133" w:rsidP="006D25CA">
            <w:pPr>
              <w:rPr>
                <w:color w:val="FF0000"/>
              </w:rPr>
            </w:pPr>
          </w:p>
          <w:p w:rsidR="00BF3133" w:rsidRDefault="00BF3133" w:rsidP="006D25CA">
            <w:pPr>
              <w:rPr>
                <w:color w:val="FF0000"/>
              </w:rPr>
            </w:pPr>
          </w:p>
          <w:p w:rsidR="00BF3133" w:rsidRDefault="00BF3133" w:rsidP="006D25CA">
            <w:pPr>
              <w:rPr>
                <w:color w:val="FF0000"/>
              </w:rPr>
            </w:pPr>
          </w:p>
          <w:p w:rsidR="00BF3133" w:rsidRDefault="00BF3133" w:rsidP="006D25CA">
            <w:pPr>
              <w:rPr>
                <w:color w:val="FF0000"/>
              </w:rPr>
            </w:pPr>
          </w:p>
          <w:p w:rsidR="00BF3133" w:rsidRDefault="00BF3133" w:rsidP="006D25CA">
            <w:pPr>
              <w:rPr>
                <w:color w:val="FF0000"/>
              </w:rPr>
            </w:pPr>
          </w:p>
          <w:p w:rsidR="00BF3133" w:rsidRDefault="00BF3133" w:rsidP="006D25CA">
            <w:pPr>
              <w:rPr>
                <w:color w:val="FF0000"/>
              </w:rPr>
            </w:pPr>
          </w:p>
          <w:p w:rsidR="00BF3133" w:rsidRDefault="00BF3133" w:rsidP="006D25CA">
            <w:pPr>
              <w:rPr>
                <w:color w:val="FF0000"/>
              </w:rPr>
            </w:pPr>
          </w:p>
          <w:p w:rsidR="00BF3133" w:rsidRDefault="00BF3133" w:rsidP="006D25CA">
            <w:pPr>
              <w:rPr>
                <w:color w:val="FF0000"/>
              </w:rPr>
            </w:pPr>
          </w:p>
          <w:p w:rsidR="00BF3133" w:rsidRDefault="00BF3133" w:rsidP="006D25CA">
            <w:pPr>
              <w:rPr>
                <w:color w:val="FF0000"/>
              </w:rPr>
            </w:pPr>
          </w:p>
          <w:p w:rsidR="00BF3133" w:rsidRDefault="00BF3133" w:rsidP="006D25CA">
            <w:pPr>
              <w:rPr>
                <w:color w:val="FF0000"/>
              </w:rPr>
            </w:pPr>
          </w:p>
          <w:p w:rsidR="00BF3133" w:rsidRDefault="00BF3133" w:rsidP="006D25CA">
            <w:pPr>
              <w:rPr>
                <w:color w:val="FF0000"/>
              </w:rPr>
            </w:pPr>
          </w:p>
          <w:p w:rsidR="00BF3133" w:rsidRDefault="00BF3133" w:rsidP="006D25CA">
            <w:pPr>
              <w:rPr>
                <w:color w:val="FF0000"/>
              </w:rPr>
            </w:pPr>
          </w:p>
          <w:p w:rsidR="00BF3133" w:rsidRDefault="00BF3133" w:rsidP="006D25CA"/>
          <w:p w:rsidR="00BF3133" w:rsidRDefault="00BF3133" w:rsidP="006D25CA"/>
          <w:p w:rsidR="00BF3133" w:rsidRDefault="00BF3133" w:rsidP="006D25CA"/>
          <w:p w:rsidR="00BF3133" w:rsidRDefault="00BF3133" w:rsidP="006D25CA"/>
          <w:p w:rsidR="00BF3133" w:rsidRDefault="00BF3133" w:rsidP="006D25CA"/>
          <w:p w:rsidR="00BF3133" w:rsidRDefault="00BF3133" w:rsidP="006D25CA">
            <w:r>
              <w:t>Нарушения при</w:t>
            </w:r>
            <w:r w:rsidRPr="00126D1F">
              <w:t xml:space="preserve"> </w:t>
            </w:r>
            <w:r>
              <w:t>использовании бюджетных средств на оплату труда</w:t>
            </w:r>
          </w:p>
          <w:p w:rsidR="00BF3133" w:rsidRDefault="00BF3133" w:rsidP="006D25CA"/>
          <w:p w:rsidR="00BF3133" w:rsidRDefault="00BF3133" w:rsidP="006D25CA"/>
          <w:p w:rsidR="00BF3133" w:rsidRDefault="00BF3133" w:rsidP="00F1139B"/>
        </w:tc>
        <w:tc>
          <w:tcPr>
            <w:tcW w:w="6096" w:type="dxa"/>
            <w:shd w:val="clear" w:color="auto" w:fill="DDE5F7" w:themeFill="accent6" w:themeFillTint="33"/>
          </w:tcPr>
          <w:p w:rsidR="00BF3133" w:rsidRPr="00BA1D02" w:rsidRDefault="00BF3133" w:rsidP="00C757E9">
            <w:pPr>
              <w:jc w:val="both"/>
              <w:rPr>
                <w:color w:val="FF0000"/>
              </w:rPr>
            </w:pPr>
            <w:r w:rsidRPr="009543C3">
              <w:t>- принятие к зачету стажа работы в организациях, не являющихся бюджетными, при исчислении стажа работы в бюджетных организациях</w:t>
            </w:r>
          </w:p>
        </w:tc>
      </w:tr>
      <w:tr w:rsidR="00BA1D02" w:rsidTr="003E6C13">
        <w:tc>
          <w:tcPr>
            <w:tcW w:w="3397" w:type="dxa"/>
            <w:vMerge/>
            <w:shd w:val="clear" w:color="auto" w:fill="DDE5F7" w:themeFill="accent6" w:themeFillTint="33"/>
          </w:tcPr>
          <w:p w:rsidR="00BA1D02" w:rsidRDefault="00BA1D02" w:rsidP="00F1139B"/>
        </w:tc>
        <w:tc>
          <w:tcPr>
            <w:tcW w:w="6096" w:type="dxa"/>
            <w:shd w:val="clear" w:color="auto" w:fill="DDE5F7" w:themeFill="accent6" w:themeFillTint="33"/>
          </w:tcPr>
          <w:p w:rsidR="00BA1D02" w:rsidRPr="00EE3B1D" w:rsidRDefault="00BA1D02" w:rsidP="006D25CA">
            <w:pPr>
              <w:jc w:val="both"/>
              <w:rPr>
                <w:highlight w:val="yellow"/>
              </w:rPr>
            </w:pPr>
            <w:r w:rsidRPr="00EE3B1D">
              <w:t xml:space="preserve">- </w:t>
            </w:r>
            <w:r w:rsidR="00EE3B1D" w:rsidRPr="00EE3B1D">
              <w:t>начисление компенсации на приобретение учебной и методической литературы всем педагогическим работникам (в т.ч. за период нахождения работников в социальных отпусках), в то время как следовало начислять только педагогическим работникам при условии работы не менее чем на 0,5 ставки, а за не полный отработанный месяц – пропорционально отработанному времени</w:t>
            </w:r>
          </w:p>
        </w:tc>
      </w:tr>
      <w:tr w:rsidR="00BA1D02" w:rsidTr="003E6C13">
        <w:tc>
          <w:tcPr>
            <w:tcW w:w="3397" w:type="dxa"/>
            <w:vMerge/>
            <w:shd w:val="clear" w:color="auto" w:fill="DDE5F7" w:themeFill="accent6" w:themeFillTint="33"/>
          </w:tcPr>
          <w:p w:rsidR="00BA1D02" w:rsidRDefault="00BA1D02" w:rsidP="00F1139B"/>
        </w:tc>
        <w:tc>
          <w:tcPr>
            <w:tcW w:w="6096" w:type="dxa"/>
            <w:shd w:val="clear" w:color="auto" w:fill="DDE5F7" w:themeFill="accent6" w:themeFillTint="33"/>
          </w:tcPr>
          <w:p w:rsidR="00BA1D02" w:rsidRPr="000A51DB" w:rsidRDefault="00BA1D02" w:rsidP="006D25CA">
            <w:pPr>
              <w:jc w:val="both"/>
            </w:pPr>
            <w:r w:rsidRPr="000A51DB">
              <w:t>- выплата заработной платы за неотработанное время (</w:t>
            </w:r>
            <w:r w:rsidR="000A51DB" w:rsidRPr="000A51DB">
              <w:t>совпадение времени работы по основному месту работы и совместительству</w:t>
            </w:r>
            <w:r w:rsidRPr="000A51DB">
              <w:t>)</w:t>
            </w:r>
          </w:p>
        </w:tc>
      </w:tr>
      <w:tr w:rsidR="00F43599" w:rsidTr="00F43599">
        <w:trPr>
          <w:trHeight w:val="1198"/>
        </w:trPr>
        <w:tc>
          <w:tcPr>
            <w:tcW w:w="3397" w:type="dxa"/>
            <w:vMerge/>
            <w:shd w:val="clear" w:color="auto" w:fill="DDE5F7" w:themeFill="accent6" w:themeFillTint="33"/>
          </w:tcPr>
          <w:p w:rsidR="00F43599" w:rsidRDefault="00F43599" w:rsidP="00F1139B"/>
        </w:tc>
        <w:tc>
          <w:tcPr>
            <w:tcW w:w="6096" w:type="dxa"/>
            <w:shd w:val="clear" w:color="auto" w:fill="DDE5F7" w:themeFill="accent6" w:themeFillTint="33"/>
          </w:tcPr>
          <w:p w:rsidR="00F43599" w:rsidRPr="00887A9C" w:rsidRDefault="00F43599" w:rsidP="006D25CA">
            <w:pPr>
              <w:jc w:val="both"/>
            </w:pPr>
            <w:r w:rsidRPr="00887A9C">
              <w:t xml:space="preserve"> - начисление и выплата единовременной выплаты на оздоровление не пропорционально отработанному времени, как следовало по локальному акту учреждения, а также от завышенного оклада </w:t>
            </w:r>
          </w:p>
        </w:tc>
        <w:bookmarkStart w:id="0" w:name="_GoBack"/>
        <w:bookmarkEnd w:id="0"/>
      </w:tr>
      <w:tr w:rsidR="00BA1D02" w:rsidTr="003E6C13">
        <w:trPr>
          <w:trHeight w:val="410"/>
        </w:trPr>
        <w:tc>
          <w:tcPr>
            <w:tcW w:w="3397" w:type="dxa"/>
            <w:vMerge/>
            <w:shd w:val="clear" w:color="auto" w:fill="DDE5F7" w:themeFill="accent6" w:themeFillTint="33"/>
          </w:tcPr>
          <w:p w:rsidR="00BA1D02" w:rsidRDefault="00BA1D02" w:rsidP="00F1139B"/>
        </w:tc>
        <w:tc>
          <w:tcPr>
            <w:tcW w:w="6096" w:type="dxa"/>
            <w:shd w:val="clear" w:color="auto" w:fill="DDE5F7" w:themeFill="accent6" w:themeFillTint="33"/>
          </w:tcPr>
          <w:p w:rsidR="00BA1D02" w:rsidRPr="00887A9C" w:rsidRDefault="00BA1D02" w:rsidP="006D25CA">
            <w:pPr>
              <w:jc w:val="both"/>
            </w:pPr>
            <w:r w:rsidRPr="00887A9C">
              <w:t>- необоснованное начисление и выплата доплаты за</w:t>
            </w:r>
            <w:r w:rsidR="00887A9C" w:rsidRPr="00887A9C">
              <w:t xml:space="preserve"> совмещение должностей и </w:t>
            </w:r>
            <w:r w:rsidRPr="00887A9C">
              <w:t xml:space="preserve">исполнение обязанностей временно отсутствующего </w:t>
            </w:r>
            <w:r w:rsidR="00887A9C" w:rsidRPr="00887A9C">
              <w:t>работника от полной ставки по совмещаемой должности, при том, что отсутствующий работник работал на 0,5 ставки</w:t>
            </w:r>
            <w:r w:rsidRPr="00887A9C">
              <w:t xml:space="preserve"> </w:t>
            </w:r>
          </w:p>
        </w:tc>
      </w:tr>
      <w:tr w:rsidR="00824729" w:rsidTr="003E6C13">
        <w:trPr>
          <w:trHeight w:val="410"/>
        </w:trPr>
        <w:tc>
          <w:tcPr>
            <w:tcW w:w="3397" w:type="dxa"/>
            <w:vMerge/>
            <w:shd w:val="clear" w:color="auto" w:fill="DDE5F7" w:themeFill="accent6" w:themeFillTint="33"/>
          </w:tcPr>
          <w:p w:rsidR="00824729" w:rsidRDefault="00824729" w:rsidP="00F1139B"/>
        </w:tc>
        <w:tc>
          <w:tcPr>
            <w:tcW w:w="6096" w:type="dxa"/>
            <w:shd w:val="clear" w:color="auto" w:fill="DDE5F7" w:themeFill="accent6" w:themeFillTint="33"/>
          </w:tcPr>
          <w:p w:rsidR="00824729" w:rsidRPr="00824729" w:rsidRDefault="00824729" w:rsidP="006D25CA">
            <w:pPr>
              <w:jc w:val="both"/>
            </w:pPr>
            <w:r w:rsidRPr="00824729">
              <w:t>- необоснованное начисление и выплата доплаты за замену (совмещение) должности воспитателя учреждения</w:t>
            </w:r>
            <w:r w:rsidR="002425FE">
              <w:t xml:space="preserve"> образования</w:t>
            </w:r>
            <w:r w:rsidRPr="00824729">
              <w:t xml:space="preserve"> от оклада воспитателя с учетом стимулирующих и компенсирующих выплат вместо доплаты от оклада по совмещаемой должности без указанных выплат</w:t>
            </w:r>
          </w:p>
        </w:tc>
      </w:tr>
      <w:tr w:rsidR="002425FE" w:rsidTr="003E6C13">
        <w:trPr>
          <w:trHeight w:val="410"/>
        </w:trPr>
        <w:tc>
          <w:tcPr>
            <w:tcW w:w="3397" w:type="dxa"/>
            <w:vMerge/>
            <w:shd w:val="clear" w:color="auto" w:fill="DDE5F7" w:themeFill="accent6" w:themeFillTint="33"/>
          </w:tcPr>
          <w:p w:rsidR="002425FE" w:rsidRDefault="002425FE" w:rsidP="00F1139B"/>
        </w:tc>
        <w:tc>
          <w:tcPr>
            <w:tcW w:w="6096" w:type="dxa"/>
            <w:shd w:val="clear" w:color="auto" w:fill="DDE5F7" w:themeFill="accent6" w:themeFillTint="33"/>
          </w:tcPr>
          <w:p w:rsidR="002425FE" w:rsidRPr="00824729" w:rsidRDefault="002425FE" w:rsidP="006D25CA">
            <w:pPr>
              <w:jc w:val="both"/>
            </w:pPr>
            <w:r>
              <w:t>- необоснованное начисление и выплата надбавки молодым специалистам, получившим профессионально-техническое образование и направленным на работу в учреждение по соответствующей рабочей профессии, в то время как данная надбавка предусмотрена для молодых специалистов</w:t>
            </w:r>
            <w:r w:rsidR="00E32FE7">
              <w:t xml:space="preserve"> из числа выпускников, получивших высшее и среднее специальное образование, которым место работы предоставлено путем распределения (перераспределения), трудоустройства в счет брони, направления на работу (перенаправления на работу) в бюджетные организации сферы образования</w:t>
            </w:r>
          </w:p>
        </w:tc>
      </w:tr>
      <w:tr w:rsidR="00BA1D02" w:rsidTr="003E6C13">
        <w:trPr>
          <w:trHeight w:val="203"/>
        </w:trPr>
        <w:tc>
          <w:tcPr>
            <w:tcW w:w="3397" w:type="dxa"/>
            <w:vMerge/>
            <w:shd w:val="clear" w:color="auto" w:fill="DDE5F7" w:themeFill="accent6" w:themeFillTint="33"/>
          </w:tcPr>
          <w:p w:rsidR="00BA1D02" w:rsidRDefault="00BA1D02" w:rsidP="00F1139B"/>
        </w:tc>
        <w:tc>
          <w:tcPr>
            <w:tcW w:w="6096" w:type="dxa"/>
            <w:shd w:val="clear" w:color="auto" w:fill="DDE5F7" w:themeFill="accent6" w:themeFillTint="33"/>
          </w:tcPr>
          <w:p w:rsidR="00BA1D02" w:rsidRPr="00BE471D" w:rsidRDefault="00824729" w:rsidP="006D25CA">
            <w:pPr>
              <w:jc w:val="both"/>
            </w:pPr>
            <w:r w:rsidRPr="00BE471D">
              <w:t xml:space="preserve">- установление специалистам и служащим </w:t>
            </w:r>
            <w:r w:rsidR="00BE471D" w:rsidRPr="00BE471D">
              <w:t>стимулирующих и компенсирующих выплат</w:t>
            </w:r>
            <w:r w:rsidRPr="00BE471D">
              <w:t>, котор</w:t>
            </w:r>
            <w:r w:rsidR="00BE471D" w:rsidRPr="00BE471D">
              <w:t>ые</w:t>
            </w:r>
            <w:r w:rsidRPr="00BE471D">
              <w:t xml:space="preserve"> предусмотрен</w:t>
            </w:r>
            <w:r w:rsidR="00BE471D" w:rsidRPr="00BE471D">
              <w:t>ы</w:t>
            </w:r>
            <w:r w:rsidRPr="00BE471D">
              <w:t xml:space="preserve"> только для рабочих профессий</w:t>
            </w:r>
          </w:p>
        </w:tc>
      </w:tr>
      <w:tr w:rsidR="00BE471D" w:rsidTr="003E6C13">
        <w:trPr>
          <w:trHeight w:val="203"/>
        </w:trPr>
        <w:tc>
          <w:tcPr>
            <w:tcW w:w="3397" w:type="dxa"/>
            <w:vMerge/>
            <w:shd w:val="clear" w:color="auto" w:fill="DDE5F7" w:themeFill="accent6" w:themeFillTint="33"/>
          </w:tcPr>
          <w:p w:rsidR="00BE471D" w:rsidRDefault="00BE471D" w:rsidP="00F1139B"/>
        </w:tc>
        <w:tc>
          <w:tcPr>
            <w:tcW w:w="6096" w:type="dxa"/>
            <w:shd w:val="clear" w:color="auto" w:fill="DDE5F7" w:themeFill="accent6" w:themeFillTint="33"/>
          </w:tcPr>
          <w:p w:rsidR="00BE471D" w:rsidRPr="00BE471D" w:rsidRDefault="00BE471D" w:rsidP="006D25CA">
            <w:pPr>
              <w:jc w:val="both"/>
            </w:pPr>
            <w:r>
              <w:t>- необоснованное начисление и выплата надбавки за характер труда категориям работников, которым она не устанавливается</w:t>
            </w:r>
          </w:p>
        </w:tc>
      </w:tr>
      <w:tr w:rsidR="00BF3133" w:rsidTr="00BF3133">
        <w:trPr>
          <w:trHeight w:val="880"/>
        </w:trPr>
        <w:tc>
          <w:tcPr>
            <w:tcW w:w="3397" w:type="dxa"/>
            <w:vMerge/>
            <w:shd w:val="clear" w:color="auto" w:fill="DDE5F7" w:themeFill="accent6" w:themeFillTint="33"/>
          </w:tcPr>
          <w:p w:rsidR="00BF3133" w:rsidRDefault="00BF3133" w:rsidP="00F1139B"/>
        </w:tc>
        <w:tc>
          <w:tcPr>
            <w:tcW w:w="6096" w:type="dxa"/>
            <w:shd w:val="clear" w:color="auto" w:fill="DDE5F7" w:themeFill="accent6" w:themeFillTint="33"/>
          </w:tcPr>
          <w:p w:rsidR="00BF3133" w:rsidRDefault="00BF3133" w:rsidP="006D25CA">
            <w:pPr>
              <w:jc w:val="both"/>
            </w:pPr>
            <w:r>
              <w:t>- установление учителям тарифных разрядов не в соответствии с присвоенными квалификационными категориями</w:t>
            </w:r>
          </w:p>
        </w:tc>
      </w:tr>
      <w:tr w:rsidR="00BA1D02" w:rsidTr="003E6C13">
        <w:tc>
          <w:tcPr>
            <w:tcW w:w="3397" w:type="dxa"/>
            <w:vMerge/>
            <w:shd w:val="clear" w:color="auto" w:fill="DDE5F7" w:themeFill="accent6" w:themeFillTint="33"/>
          </w:tcPr>
          <w:p w:rsidR="00BA1D02" w:rsidRDefault="00BA1D02" w:rsidP="00F1139B"/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DDE5F7" w:themeFill="accent6" w:themeFillTint="33"/>
          </w:tcPr>
          <w:p w:rsidR="00BA1D02" w:rsidRPr="00BA1D02" w:rsidRDefault="00BA1D02" w:rsidP="006D25CA">
            <w:pPr>
              <w:jc w:val="both"/>
            </w:pPr>
            <w:r w:rsidRPr="00BA1D02">
              <w:t xml:space="preserve">- выплата премий и оказание материальной помощи сверх размера планового фонда </w:t>
            </w:r>
          </w:p>
        </w:tc>
      </w:tr>
      <w:tr w:rsidR="00BF3133" w:rsidTr="00BF3133">
        <w:trPr>
          <w:trHeight w:val="1114"/>
        </w:trPr>
        <w:tc>
          <w:tcPr>
            <w:tcW w:w="3397" w:type="dxa"/>
            <w:vMerge/>
            <w:shd w:val="clear" w:color="auto" w:fill="DDE5F7" w:themeFill="accent6" w:themeFillTint="33"/>
          </w:tcPr>
          <w:p w:rsidR="00BF3133" w:rsidRDefault="00BF3133" w:rsidP="00F1139B"/>
        </w:tc>
        <w:tc>
          <w:tcPr>
            <w:tcW w:w="6096" w:type="dxa"/>
            <w:shd w:val="clear" w:color="auto" w:fill="DDE5F7" w:themeFill="accent6" w:themeFillTint="33"/>
          </w:tcPr>
          <w:p w:rsidR="00BF3133" w:rsidRPr="00BA1D02" w:rsidRDefault="00BF3133" w:rsidP="006D25CA">
            <w:pPr>
              <w:jc w:val="both"/>
            </w:pPr>
            <w:r>
              <w:t>- излишнее начисление и выплата премии работникам вследствие не снижения премии при объявлении им замечаний (снижение премии в таких случаях предусмотрено локальным актом учреждения)</w:t>
            </w:r>
          </w:p>
        </w:tc>
      </w:tr>
      <w:tr w:rsidR="00F43599" w:rsidTr="00F43599">
        <w:trPr>
          <w:trHeight w:val="847"/>
        </w:trPr>
        <w:tc>
          <w:tcPr>
            <w:tcW w:w="3397" w:type="dxa"/>
            <w:vMerge/>
            <w:shd w:val="clear" w:color="auto" w:fill="DDE5F7" w:themeFill="accent6" w:themeFillTint="33"/>
          </w:tcPr>
          <w:p w:rsidR="00F43599" w:rsidRDefault="00F43599" w:rsidP="00F43599"/>
        </w:tc>
        <w:tc>
          <w:tcPr>
            <w:tcW w:w="6096" w:type="dxa"/>
            <w:shd w:val="clear" w:color="auto" w:fill="DDE5F7" w:themeFill="accent6" w:themeFillTint="33"/>
          </w:tcPr>
          <w:p w:rsidR="00F43599" w:rsidRDefault="00F43599" w:rsidP="00F43599">
            <w:pPr>
              <w:jc w:val="both"/>
            </w:pPr>
            <w:r w:rsidRPr="00BE471D">
              <w:t>- нарушение порядка исчисления среднего заработка, сохраняемого в случаях, предусмотренных законодательством</w:t>
            </w:r>
          </w:p>
        </w:tc>
      </w:tr>
      <w:tr w:rsidR="00F43599" w:rsidTr="003E6C13">
        <w:tc>
          <w:tcPr>
            <w:tcW w:w="3397" w:type="dxa"/>
            <w:vMerge/>
            <w:shd w:val="clear" w:color="auto" w:fill="DDE5F7" w:themeFill="accent6" w:themeFillTint="33"/>
          </w:tcPr>
          <w:p w:rsidR="00F43599" w:rsidRDefault="00F43599" w:rsidP="00F43599"/>
        </w:tc>
        <w:tc>
          <w:tcPr>
            <w:tcW w:w="6096" w:type="dxa"/>
            <w:shd w:val="clear" w:color="auto" w:fill="DDE5F7" w:themeFill="accent6" w:themeFillTint="33"/>
          </w:tcPr>
          <w:p w:rsidR="00F43599" w:rsidRPr="003030FE" w:rsidRDefault="00F43599" w:rsidP="00F43599">
            <w:pPr>
              <w:jc w:val="both"/>
            </w:pPr>
            <w:r w:rsidRPr="003030FE">
              <w:t>- сохранение среднего заработка за период предоставленного в связи с обучением социального отпуска при отсутствии направления нанимателя, договоров в сфере образования либо иных оснований</w:t>
            </w:r>
          </w:p>
        </w:tc>
      </w:tr>
      <w:tr w:rsidR="00F43599" w:rsidTr="003E6C13">
        <w:tc>
          <w:tcPr>
            <w:tcW w:w="3397" w:type="dxa"/>
            <w:vMerge/>
            <w:shd w:val="clear" w:color="auto" w:fill="DDE5F7" w:themeFill="accent6" w:themeFillTint="33"/>
          </w:tcPr>
          <w:p w:rsidR="00F43599" w:rsidRDefault="00F43599" w:rsidP="00F43599"/>
        </w:tc>
        <w:tc>
          <w:tcPr>
            <w:tcW w:w="6096" w:type="dxa"/>
            <w:shd w:val="clear" w:color="auto" w:fill="DDE5F7" w:themeFill="accent6" w:themeFillTint="33"/>
          </w:tcPr>
          <w:p w:rsidR="00F43599" w:rsidRPr="003030FE" w:rsidRDefault="00F43599" w:rsidP="00F43599">
            <w:pPr>
              <w:jc w:val="both"/>
            </w:pPr>
            <w:r w:rsidRPr="009D55BE">
              <w:t>- необоснованное содержание штатных единиц дворников при отсутствии земельных участков</w:t>
            </w:r>
          </w:p>
        </w:tc>
      </w:tr>
      <w:tr w:rsidR="00F43599" w:rsidTr="003E6C13">
        <w:tc>
          <w:tcPr>
            <w:tcW w:w="3397" w:type="dxa"/>
            <w:vMerge/>
            <w:shd w:val="clear" w:color="auto" w:fill="DDE5F7" w:themeFill="accent6" w:themeFillTint="33"/>
          </w:tcPr>
          <w:p w:rsidR="00F43599" w:rsidRDefault="00F43599" w:rsidP="00F43599"/>
        </w:tc>
        <w:tc>
          <w:tcPr>
            <w:tcW w:w="6096" w:type="dxa"/>
            <w:shd w:val="clear" w:color="auto" w:fill="DDE5F7" w:themeFill="accent6" w:themeFillTint="33"/>
          </w:tcPr>
          <w:p w:rsidR="00F43599" w:rsidRPr="00BA1D02" w:rsidRDefault="00F43599" w:rsidP="00F43599">
            <w:pPr>
              <w:jc w:val="both"/>
              <w:rPr>
                <w:color w:val="FF0000"/>
              </w:rPr>
            </w:pPr>
            <w:r w:rsidRPr="00BA1D02">
              <w:t>- содержание сверхштатных единиц по професси</w:t>
            </w:r>
            <w:r>
              <w:t>ям</w:t>
            </w:r>
            <w:r w:rsidRPr="00BA1D02">
              <w:t xml:space="preserve"> «уборщик помещений» вследствие завышения количества уборок в смену</w:t>
            </w:r>
            <w:r>
              <w:t>, «рабочий по комплексному обслуживанию зданий и сооружений» вследствие завышения площади обслуживаемых зданий и сооружений</w:t>
            </w:r>
          </w:p>
        </w:tc>
      </w:tr>
      <w:tr w:rsidR="00F43599" w:rsidTr="003E6C13">
        <w:tc>
          <w:tcPr>
            <w:tcW w:w="3397" w:type="dxa"/>
            <w:vMerge/>
            <w:shd w:val="clear" w:color="auto" w:fill="DDE5F7" w:themeFill="accent6" w:themeFillTint="33"/>
          </w:tcPr>
          <w:p w:rsidR="00F43599" w:rsidRDefault="00F43599" w:rsidP="00F43599"/>
        </w:tc>
        <w:tc>
          <w:tcPr>
            <w:tcW w:w="6096" w:type="dxa"/>
            <w:shd w:val="clear" w:color="auto" w:fill="DDE5F7" w:themeFill="accent6" w:themeFillTint="33"/>
          </w:tcPr>
          <w:p w:rsidR="00F43599" w:rsidRPr="00BA1D02" w:rsidRDefault="00F43599" w:rsidP="00F43599">
            <w:pPr>
              <w:jc w:val="both"/>
            </w:pPr>
            <w:r>
              <w:t>-содержание сверхштатных единиц по профессии «сторож» вследствие неправильного округления штатных единиц</w:t>
            </w:r>
          </w:p>
        </w:tc>
      </w:tr>
      <w:tr w:rsidR="00F43599" w:rsidTr="003E6C13">
        <w:tc>
          <w:tcPr>
            <w:tcW w:w="3397" w:type="dxa"/>
            <w:vMerge/>
            <w:shd w:val="clear" w:color="auto" w:fill="DDE5F7" w:themeFill="accent6" w:themeFillTint="33"/>
          </w:tcPr>
          <w:p w:rsidR="00F43599" w:rsidRDefault="00F43599" w:rsidP="00F43599"/>
        </w:tc>
        <w:tc>
          <w:tcPr>
            <w:tcW w:w="6096" w:type="dxa"/>
            <w:shd w:val="clear" w:color="auto" w:fill="DDE5F7" w:themeFill="accent6" w:themeFillTint="33"/>
          </w:tcPr>
          <w:p w:rsidR="00F43599" w:rsidRDefault="00F43599" w:rsidP="00F43599">
            <w:pPr>
              <w:jc w:val="both"/>
            </w:pPr>
            <w:r>
              <w:t>- содержание сверхнормативных штатных единиц бухгалтеров центров по обеспечению деятельности бюджетных организаций по причине завышения количества лицевых счетов, от которых зависит численность бухгалтеров</w:t>
            </w:r>
          </w:p>
        </w:tc>
      </w:tr>
      <w:tr w:rsidR="00F43599" w:rsidTr="003E6C13">
        <w:tc>
          <w:tcPr>
            <w:tcW w:w="3397" w:type="dxa"/>
            <w:vMerge/>
            <w:shd w:val="clear" w:color="auto" w:fill="DDE5F7" w:themeFill="accent6" w:themeFillTint="33"/>
          </w:tcPr>
          <w:p w:rsidR="00F43599" w:rsidRDefault="00F43599" w:rsidP="00F43599"/>
        </w:tc>
        <w:tc>
          <w:tcPr>
            <w:tcW w:w="6096" w:type="dxa"/>
            <w:shd w:val="clear" w:color="auto" w:fill="DDE5F7" w:themeFill="accent6" w:themeFillTint="33"/>
          </w:tcPr>
          <w:p w:rsidR="00F43599" w:rsidRDefault="00F43599" w:rsidP="00F43599">
            <w:pPr>
              <w:jc w:val="both"/>
            </w:pPr>
            <w:r w:rsidRPr="00BA1D02">
              <w:t>- завышение численности педагога-психолога и педагога социального по причине завышения количества обучающихся</w:t>
            </w:r>
          </w:p>
        </w:tc>
      </w:tr>
      <w:tr w:rsidR="00F43599" w:rsidTr="003E6C13">
        <w:trPr>
          <w:trHeight w:val="1402"/>
        </w:trPr>
        <w:tc>
          <w:tcPr>
            <w:tcW w:w="3397" w:type="dxa"/>
            <w:vMerge/>
            <w:shd w:val="clear" w:color="auto" w:fill="DDE5F7" w:themeFill="accent6" w:themeFillTint="33"/>
          </w:tcPr>
          <w:p w:rsidR="00F43599" w:rsidRPr="00126D1F" w:rsidRDefault="00F43599" w:rsidP="00F43599"/>
        </w:tc>
        <w:tc>
          <w:tcPr>
            <w:tcW w:w="6096" w:type="dxa"/>
            <w:shd w:val="clear" w:color="auto" w:fill="DDE5F7" w:themeFill="accent6" w:themeFillTint="33"/>
          </w:tcPr>
          <w:p w:rsidR="00F43599" w:rsidRPr="003030FE" w:rsidRDefault="00F43599" w:rsidP="00F43599">
            <w:pPr>
              <w:jc w:val="both"/>
            </w:pPr>
            <w:r w:rsidRPr="003030FE">
              <w:t>- неверное установление кратного размера базовой ставки (водителям при управлении механическими транспортными средствами категории «В» установлен 5-й разряд работ вместо 4-го разряда и соответствующий ему кратный размер базовой ставки), (повару учреждения установлен 5-й разряд работ вместо 4-го разряда работ, соответствующего выполняемой согласно рабочей инструкции характеристике работ)</w:t>
            </w:r>
          </w:p>
        </w:tc>
      </w:tr>
      <w:tr w:rsidR="00F43599" w:rsidTr="003E6C13">
        <w:trPr>
          <w:trHeight w:val="563"/>
        </w:trPr>
        <w:tc>
          <w:tcPr>
            <w:tcW w:w="3397" w:type="dxa"/>
            <w:vMerge/>
            <w:shd w:val="clear" w:color="auto" w:fill="DDE5F7" w:themeFill="accent6" w:themeFillTint="33"/>
          </w:tcPr>
          <w:p w:rsidR="00F43599" w:rsidRDefault="00F43599" w:rsidP="00F43599"/>
        </w:tc>
        <w:tc>
          <w:tcPr>
            <w:tcW w:w="6096" w:type="dxa"/>
            <w:shd w:val="clear" w:color="auto" w:fill="DDE5F7" w:themeFill="accent6" w:themeFillTint="33"/>
          </w:tcPr>
          <w:p w:rsidR="00F43599" w:rsidRPr="00824729" w:rsidRDefault="00F43599" w:rsidP="00F43599">
            <w:pPr>
              <w:jc w:val="both"/>
            </w:pPr>
            <w:r w:rsidRPr="00824729">
              <w:t xml:space="preserve">- выплата за счет средств бюджета надбавок за высокие достижения в труде неосвобожденным председателям профсоюзных организаций за работу в первичных профсоюзных организациях </w:t>
            </w:r>
          </w:p>
        </w:tc>
      </w:tr>
      <w:tr w:rsidR="00F43599" w:rsidRPr="009A54DC" w:rsidTr="003E6C13">
        <w:trPr>
          <w:trHeight w:val="563"/>
        </w:trPr>
        <w:tc>
          <w:tcPr>
            <w:tcW w:w="3397" w:type="dxa"/>
            <w:vMerge/>
            <w:shd w:val="clear" w:color="auto" w:fill="DDE5F7" w:themeFill="accent6" w:themeFillTint="33"/>
          </w:tcPr>
          <w:p w:rsidR="00F43599" w:rsidRDefault="00F43599" w:rsidP="00F43599"/>
        </w:tc>
        <w:tc>
          <w:tcPr>
            <w:tcW w:w="6096" w:type="dxa"/>
            <w:shd w:val="clear" w:color="auto" w:fill="DDE5F7" w:themeFill="accent6" w:themeFillTint="33"/>
          </w:tcPr>
          <w:p w:rsidR="00F43599" w:rsidRPr="00BE471D" w:rsidRDefault="00F43599" w:rsidP="00F43599">
            <w:pPr>
              <w:jc w:val="both"/>
            </w:pPr>
            <w:r w:rsidRPr="00BE471D">
              <w:t>- установление надбавки за работу по контракту, а также дополнительного поощрительного отпуска за работу по контракту работникам, исполняющим обязанности специалистов, находящихся в отпуске по беременности и родам, в социальном отпуске по уходу за ребенком до достижения им возраста трех лет</w:t>
            </w:r>
          </w:p>
        </w:tc>
      </w:tr>
      <w:tr w:rsidR="00F43599" w:rsidRPr="009A54DC" w:rsidTr="00F43599">
        <w:trPr>
          <w:trHeight w:val="563"/>
        </w:trPr>
        <w:tc>
          <w:tcPr>
            <w:tcW w:w="3397" w:type="dxa"/>
            <w:vMerge/>
            <w:shd w:val="clear" w:color="auto" w:fill="DDE5F7" w:themeFill="accent6" w:themeFillTint="33"/>
          </w:tcPr>
          <w:p w:rsidR="00F43599" w:rsidRDefault="00F43599" w:rsidP="00F43599"/>
        </w:tc>
        <w:tc>
          <w:tcPr>
            <w:tcW w:w="6096" w:type="dxa"/>
            <w:shd w:val="clear" w:color="auto" w:fill="DDE5F7" w:themeFill="accent6" w:themeFillTint="33"/>
          </w:tcPr>
          <w:p w:rsidR="00F43599" w:rsidRPr="00BE471D" w:rsidRDefault="00F43599" w:rsidP="006E3308">
            <w:pPr>
              <w:jc w:val="both"/>
            </w:pPr>
            <w:r w:rsidRPr="009543C3">
              <w:t>- перечисление на карт-счета работникам не начисленных им сумм заработной платы</w:t>
            </w:r>
          </w:p>
        </w:tc>
      </w:tr>
      <w:tr w:rsidR="00F43599" w:rsidTr="00C90DD5">
        <w:trPr>
          <w:trHeight w:val="1479"/>
        </w:trPr>
        <w:tc>
          <w:tcPr>
            <w:tcW w:w="3397" w:type="dxa"/>
            <w:vMerge w:val="restart"/>
            <w:shd w:val="clear" w:color="auto" w:fill="F1CBF0" w:themeFill="accent1" w:themeFillTint="33"/>
          </w:tcPr>
          <w:p w:rsidR="00F43599" w:rsidRDefault="00F43599" w:rsidP="00F43599"/>
          <w:p w:rsidR="00F43599" w:rsidRDefault="00F43599" w:rsidP="00F43599"/>
          <w:p w:rsidR="00F43599" w:rsidRDefault="00F43599" w:rsidP="00F43599"/>
          <w:p w:rsidR="00F43599" w:rsidRDefault="00F43599" w:rsidP="00F43599">
            <w:r>
              <w:t>Нарушения при оплате расходов на служебные командировки</w:t>
            </w:r>
          </w:p>
        </w:tc>
        <w:tc>
          <w:tcPr>
            <w:tcW w:w="6096" w:type="dxa"/>
            <w:shd w:val="clear" w:color="auto" w:fill="F1CBF0" w:themeFill="accent1" w:themeFillTint="33"/>
          </w:tcPr>
          <w:p w:rsidR="00F43599" w:rsidRPr="009D55BE" w:rsidRDefault="00F43599" w:rsidP="00F43599">
            <w:pPr>
              <w:jc w:val="both"/>
            </w:pPr>
            <w:r w:rsidRPr="00BE45DA">
              <w:t xml:space="preserve">- </w:t>
            </w:r>
            <w:r>
              <w:t>оплата суточных специалисту, направленному на переподготовку в заочной форме получения образования в другой населенный пункт произведена не пропорционально продолжительности обучения в течение каждого учебного года</w:t>
            </w:r>
          </w:p>
        </w:tc>
      </w:tr>
      <w:tr w:rsidR="00F43599" w:rsidTr="009D55BE">
        <w:trPr>
          <w:trHeight w:val="581"/>
        </w:trPr>
        <w:tc>
          <w:tcPr>
            <w:tcW w:w="3397" w:type="dxa"/>
            <w:vMerge/>
            <w:shd w:val="clear" w:color="auto" w:fill="F1CBF0" w:themeFill="accent1" w:themeFillTint="33"/>
          </w:tcPr>
          <w:p w:rsidR="00F43599" w:rsidRDefault="00F43599" w:rsidP="00F43599"/>
        </w:tc>
        <w:tc>
          <w:tcPr>
            <w:tcW w:w="6096" w:type="dxa"/>
            <w:shd w:val="clear" w:color="auto" w:fill="F1CBF0" w:themeFill="accent1" w:themeFillTint="33"/>
          </w:tcPr>
          <w:p w:rsidR="00F43599" w:rsidRPr="00BE45DA" w:rsidRDefault="00F43599" w:rsidP="00F43599">
            <w:pPr>
              <w:jc w:val="both"/>
            </w:pPr>
            <w:r>
              <w:t>- оплата проезда, не подтвержденного проездным билетом</w:t>
            </w:r>
          </w:p>
        </w:tc>
      </w:tr>
      <w:tr w:rsidR="00F43599" w:rsidTr="009D55BE">
        <w:trPr>
          <w:trHeight w:val="581"/>
        </w:trPr>
        <w:tc>
          <w:tcPr>
            <w:tcW w:w="3397" w:type="dxa"/>
            <w:vMerge/>
            <w:shd w:val="clear" w:color="auto" w:fill="F1CBF0" w:themeFill="accent1" w:themeFillTint="33"/>
          </w:tcPr>
          <w:p w:rsidR="00F43599" w:rsidRDefault="00F43599" w:rsidP="00F43599"/>
        </w:tc>
        <w:tc>
          <w:tcPr>
            <w:tcW w:w="6096" w:type="dxa"/>
            <w:shd w:val="clear" w:color="auto" w:fill="F1CBF0" w:themeFill="accent1" w:themeFillTint="33"/>
          </w:tcPr>
          <w:p w:rsidR="00F43599" w:rsidRDefault="00F43599" w:rsidP="00F43599">
            <w:pPr>
              <w:jc w:val="both"/>
            </w:pPr>
            <w:r>
              <w:t>- возмещение расходов по найму жилого помещения без подтверждающих документов</w:t>
            </w:r>
          </w:p>
        </w:tc>
      </w:tr>
      <w:tr w:rsidR="00F43599" w:rsidTr="001B0281">
        <w:trPr>
          <w:trHeight w:val="1355"/>
        </w:trPr>
        <w:tc>
          <w:tcPr>
            <w:tcW w:w="3397" w:type="dxa"/>
            <w:shd w:val="clear" w:color="auto" w:fill="EADDF6" w:themeFill="accent2" w:themeFillTint="33"/>
          </w:tcPr>
          <w:p w:rsidR="00F43599" w:rsidRDefault="00F43599" w:rsidP="00F43599">
            <w:r>
              <w:lastRenderedPageBreak/>
              <w:t>Нарушения при заключении и исполнении договоров, финансируемых полностью или частично за счет бюджетных средств</w:t>
            </w:r>
          </w:p>
        </w:tc>
        <w:tc>
          <w:tcPr>
            <w:tcW w:w="6096" w:type="dxa"/>
            <w:shd w:val="clear" w:color="auto" w:fill="EADDF6" w:themeFill="accent2" w:themeFillTint="33"/>
          </w:tcPr>
          <w:p w:rsidR="00F43599" w:rsidRPr="00BE45DA" w:rsidRDefault="00F43599" w:rsidP="00F43599">
            <w:pPr>
              <w:jc w:val="both"/>
            </w:pPr>
            <w:r w:rsidRPr="00BE45DA">
              <w:t>-</w:t>
            </w:r>
            <w:r>
              <w:t xml:space="preserve"> заключение договоров на приобретение товаров (работ, услуг), финансируемых полностью или частично за счет бюджетных средств, без проведения соответствующих процедур государственных закупок</w:t>
            </w:r>
          </w:p>
        </w:tc>
      </w:tr>
      <w:tr w:rsidR="00F43599" w:rsidTr="003E6C13">
        <w:trPr>
          <w:trHeight w:val="549"/>
        </w:trPr>
        <w:tc>
          <w:tcPr>
            <w:tcW w:w="3397" w:type="dxa"/>
            <w:shd w:val="clear" w:color="auto" w:fill="E0DEF0" w:themeFill="accent4" w:themeFillTint="33"/>
          </w:tcPr>
          <w:p w:rsidR="00F43599" w:rsidRDefault="00F43599" w:rsidP="00F43599">
            <w:r w:rsidRPr="00155DEB">
              <w:t>Нарушения при оплате текущего (капитального) ремонта зданий и помещений</w:t>
            </w:r>
          </w:p>
        </w:tc>
        <w:tc>
          <w:tcPr>
            <w:tcW w:w="6096" w:type="dxa"/>
            <w:shd w:val="clear" w:color="auto" w:fill="E0DEF0" w:themeFill="accent4" w:themeFillTint="33"/>
          </w:tcPr>
          <w:p w:rsidR="00F43599" w:rsidRDefault="00F43599" w:rsidP="00F43599">
            <w:pPr>
              <w:jc w:val="both"/>
            </w:pPr>
            <w:r w:rsidRPr="00155DEB">
              <w:t>- включение в акты выполненных работ завышенной стоимости материалов, стоимости подрядных работ, выполнение которых не подтверждается списанием материалов для их выполнения</w:t>
            </w:r>
          </w:p>
        </w:tc>
      </w:tr>
      <w:tr w:rsidR="00F43599" w:rsidTr="003E6C13">
        <w:trPr>
          <w:trHeight w:val="549"/>
        </w:trPr>
        <w:tc>
          <w:tcPr>
            <w:tcW w:w="3397" w:type="dxa"/>
            <w:vMerge w:val="restart"/>
            <w:shd w:val="clear" w:color="auto" w:fill="DDE5F7" w:themeFill="accent6" w:themeFillTint="33"/>
          </w:tcPr>
          <w:p w:rsidR="00F43599" w:rsidRDefault="00F43599" w:rsidP="00F43599"/>
          <w:p w:rsidR="00F43599" w:rsidRDefault="00F43599" w:rsidP="00F43599">
            <w:r>
              <w:t>Нарушения при оплате расходов на содержание автотранспортных средств, транспортных расходов</w:t>
            </w:r>
          </w:p>
        </w:tc>
        <w:tc>
          <w:tcPr>
            <w:tcW w:w="6096" w:type="dxa"/>
            <w:shd w:val="clear" w:color="auto" w:fill="DDE5F7" w:themeFill="accent6" w:themeFillTint="33"/>
          </w:tcPr>
          <w:p w:rsidR="00F43599" w:rsidRDefault="00F43599" w:rsidP="00F43599">
            <w:pPr>
              <w:jc w:val="both"/>
            </w:pPr>
            <w:r>
              <w:t xml:space="preserve">- содержание сверх установленного табелем положенности специального легкового автомобиля </w:t>
            </w:r>
          </w:p>
        </w:tc>
      </w:tr>
      <w:tr w:rsidR="00F43599" w:rsidTr="00BF3133">
        <w:trPr>
          <w:trHeight w:val="363"/>
        </w:trPr>
        <w:tc>
          <w:tcPr>
            <w:tcW w:w="3397" w:type="dxa"/>
            <w:vMerge/>
            <w:shd w:val="clear" w:color="auto" w:fill="DDE5F7" w:themeFill="accent6" w:themeFillTint="33"/>
          </w:tcPr>
          <w:p w:rsidR="00F43599" w:rsidRDefault="00F43599" w:rsidP="00F43599"/>
        </w:tc>
        <w:tc>
          <w:tcPr>
            <w:tcW w:w="6096" w:type="dxa"/>
            <w:shd w:val="clear" w:color="auto" w:fill="DDE5F7" w:themeFill="accent6" w:themeFillTint="33"/>
          </w:tcPr>
          <w:p w:rsidR="00F43599" w:rsidRDefault="00F43599" w:rsidP="00F43599">
            <w:pPr>
              <w:jc w:val="both"/>
            </w:pPr>
            <w:r>
              <w:t>- завышение норм расхода топлива</w:t>
            </w:r>
          </w:p>
        </w:tc>
      </w:tr>
      <w:tr w:rsidR="00F43599" w:rsidTr="003E6C13">
        <w:trPr>
          <w:trHeight w:val="549"/>
        </w:trPr>
        <w:tc>
          <w:tcPr>
            <w:tcW w:w="3397" w:type="dxa"/>
            <w:vMerge/>
            <w:shd w:val="clear" w:color="auto" w:fill="DDE5F7" w:themeFill="accent6" w:themeFillTint="33"/>
          </w:tcPr>
          <w:p w:rsidR="00F43599" w:rsidRDefault="00F43599" w:rsidP="00F43599"/>
        </w:tc>
        <w:tc>
          <w:tcPr>
            <w:tcW w:w="6096" w:type="dxa"/>
            <w:shd w:val="clear" w:color="auto" w:fill="DDE5F7" w:themeFill="accent6" w:themeFillTint="33"/>
          </w:tcPr>
          <w:p w:rsidR="00F43599" w:rsidRDefault="00F43599" w:rsidP="00F43599">
            <w:pPr>
              <w:jc w:val="both"/>
            </w:pPr>
            <w:r>
              <w:t>- необоснованное списание горюче-смазочных материалов вследствие превышения лимита пробега специального легкового автомобиля</w:t>
            </w:r>
          </w:p>
        </w:tc>
      </w:tr>
      <w:tr w:rsidR="00F43599" w:rsidTr="003C73BF">
        <w:trPr>
          <w:trHeight w:val="1421"/>
        </w:trPr>
        <w:tc>
          <w:tcPr>
            <w:tcW w:w="3397" w:type="dxa"/>
            <w:shd w:val="clear" w:color="auto" w:fill="E8CDE7" w:themeFill="text2" w:themeFillTint="33"/>
          </w:tcPr>
          <w:p w:rsidR="00F43599" w:rsidRDefault="00F43599" w:rsidP="00F43599">
            <w:r>
              <w:t>Нарушения при предоставлении в аренду (безвозмездное пользование, внаем) недвижимого имущества</w:t>
            </w:r>
          </w:p>
        </w:tc>
        <w:tc>
          <w:tcPr>
            <w:tcW w:w="6096" w:type="dxa"/>
            <w:shd w:val="clear" w:color="auto" w:fill="E8CDE7" w:themeFill="text2" w:themeFillTint="33"/>
          </w:tcPr>
          <w:p w:rsidR="00F43599" w:rsidRDefault="00F43599" w:rsidP="00F43599">
            <w:pPr>
              <w:jc w:val="both"/>
            </w:pPr>
            <w:r>
              <w:t>- неполное предъявление арендаторам (ссудополучателям) к возмещению понесенных эксплуатационных расходов по переданным в пользование помещениям</w:t>
            </w:r>
          </w:p>
        </w:tc>
      </w:tr>
      <w:tr w:rsidR="00F43599" w:rsidTr="00F43599">
        <w:trPr>
          <w:trHeight w:val="1258"/>
        </w:trPr>
        <w:tc>
          <w:tcPr>
            <w:tcW w:w="3397" w:type="dxa"/>
            <w:shd w:val="clear" w:color="auto" w:fill="F2F2F2" w:themeFill="background1" w:themeFillShade="F2"/>
          </w:tcPr>
          <w:p w:rsidR="00F43599" w:rsidRPr="0091259F" w:rsidRDefault="00F43599" w:rsidP="00F43599">
            <w:r>
              <w:t>Нарушения при осуществлении расходов, связанных с приносящей доходы деятельностью</w:t>
            </w:r>
          </w:p>
        </w:tc>
        <w:tc>
          <w:tcPr>
            <w:tcW w:w="6096" w:type="dxa"/>
            <w:shd w:val="clear" w:color="auto" w:fill="F2F2F2" w:themeFill="background1" w:themeFillShade="F2"/>
          </w:tcPr>
          <w:p w:rsidR="00F43599" w:rsidRDefault="00F43599" w:rsidP="00E32698">
            <w:pPr>
              <w:jc w:val="both"/>
            </w:pPr>
            <w:r>
              <w:t>- приобретение за счет средств бюджета расходных материалов и предметов снабжения, оплата текущего ремонта оборудования, инвентаря, зданий, используемого по внебюджетной деятельности.</w:t>
            </w:r>
          </w:p>
        </w:tc>
      </w:tr>
    </w:tbl>
    <w:p w:rsidR="00814C8B" w:rsidRPr="00812457" w:rsidRDefault="00814C8B" w:rsidP="00642669">
      <w:pPr>
        <w:jc w:val="both"/>
        <w:rPr>
          <w:sz w:val="30"/>
          <w:szCs w:val="30"/>
        </w:rPr>
      </w:pPr>
    </w:p>
    <w:p w:rsidR="001A6EFB" w:rsidRPr="00812457" w:rsidRDefault="001A6EFB" w:rsidP="00642669">
      <w:pPr>
        <w:jc w:val="both"/>
        <w:rPr>
          <w:sz w:val="30"/>
          <w:szCs w:val="30"/>
        </w:rPr>
      </w:pPr>
    </w:p>
    <w:sectPr w:rsidR="001A6EFB" w:rsidRPr="00812457" w:rsidSect="00695795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7EA" w:rsidRDefault="006F37EA" w:rsidP="00B34ABB">
      <w:r>
        <w:separator/>
      </w:r>
    </w:p>
  </w:endnote>
  <w:endnote w:type="continuationSeparator" w:id="0">
    <w:p w:rsidR="006F37EA" w:rsidRDefault="006F37EA" w:rsidP="00B34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7EA" w:rsidRDefault="006F37EA" w:rsidP="00B34ABB">
      <w:r>
        <w:separator/>
      </w:r>
    </w:p>
  </w:footnote>
  <w:footnote w:type="continuationSeparator" w:id="0">
    <w:p w:rsidR="006F37EA" w:rsidRDefault="006F37EA" w:rsidP="00B34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81FA2"/>
    <w:multiLevelType w:val="hybridMultilevel"/>
    <w:tmpl w:val="8D3A90AC"/>
    <w:lvl w:ilvl="0" w:tplc="A72E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34818"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9F789A"/>
    <w:rsid w:val="00027FAA"/>
    <w:rsid w:val="00042171"/>
    <w:rsid w:val="00047BCF"/>
    <w:rsid w:val="00053F62"/>
    <w:rsid w:val="000913DF"/>
    <w:rsid w:val="00094D80"/>
    <w:rsid w:val="000A35E4"/>
    <w:rsid w:val="000A4510"/>
    <w:rsid w:val="000A51DB"/>
    <w:rsid w:val="000B5579"/>
    <w:rsid w:val="000B5FD0"/>
    <w:rsid w:val="000C3E5A"/>
    <w:rsid w:val="000E63E0"/>
    <w:rsid w:val="0010460F"/>
    <w:rsid w:val="00113A41"/>
    <w:rsid w:val="00126D1F"/>
    <w:rsid w:val="0013304F"/>
    <w:rsid w:val="00140E10"/>
    <w:rsid w:val="0015389B"/>
    <w:rsid w:val="00154EC9"/>
    <w:rsid w:val="001734CA"/>
    <w:rsid w:val="001808AA"/>
    <w:rsid w:val="00182407"/>
    <w:rsid w:val="001870E6"/>
    <w:rsid w:val="001A4226"/>
    <w:rsid w:val="001A5F9C"/>
    <w:rsid w:val="001A6EFB"/>
    <w:rsid w:val="001B0281"/>
    <w:rsid w:val="001C7E93"/>
    <w:rsid w:val="001D6C82"/>
    <w:rsid w:val="001D7772"/>
    <w:rsid w:val="001F01C1"/>
    <w:rsid w:val="001F5DB7"/>
    <w:rsid w:val="00214B54"/>
    <w:rsid w:val="00236EB5"/>
    <w:rsid w:val="00241622"/>
    <w:rsid w:val="002425FE"/>
    <w:rsid w:val="00242A06"/>
    <w:rsid w:val="00244766"/>
    <w:rsid w:val="00244DFC"/>
    <w:rsid w:val="00251F91"/>
    <w:rsid w:val="0028711C"/>
    <w:rsid w:val="00295EAC"/>
    <w:rsid w:val="002B11F7"/>
    <w:rsid w:val="002B326C"/>
    <w:rsid w:val="002B3AC1"/>
    <w:rsid w:val="002C3B82"/>
    <w:rsid w:val="002E5458"/>
    <w:rsid w:val="00300F0E"/>
    <w:rsid w:val="003012DD"/>
    <w:rsid w:val="003018E0"/>
    <w:rsid w:val="0030229D"/>
    <w:rsid w:val="003030FE"/>
    <w:rsid w:val="00347799"/>
    <w:rsid w:val="0036360C"/>
    <w:rsid w:val="00373672"/>
    <w:rsid w:val="0039081A"/>
    <w:rsid w:val="003C73BF"/>
    <w:rsid w:val="003E6C13"/>
    <w:rsid w:val="004358D6"/>
    <w:rsid w:val="00442759"/>
    <w:rsid w:val="0045510D"/>
    <w:rsid w:val="00480FED"/>
    <w:rsid w:val="00494F8E"/>
    <w:rsid w:val="004C74DF"/>
    <w:rsid w:val="004F234F"/>
    <w:rsid w:val="005024F7"/>
    <w:rsid w:val="00515E34"/>
    <w:rsid w:val="00541745"/>
    <w:rsid w:val="005665CD"/>
    <w:rsid w:val="00572BE2"/>
    <w:rsid w:val="005D0D39"/>
    <w:rsid w:val="005E0A97"/>
    <w:rsid w:val="00602D5A"/>
    <w:rsid w:val="00617543"/>
    <w:rsid w:val="00642669"/>
    <w:rsid w:val="00644C00"/>
    <w:rsid w:val="00666FA3"/>
    <w:rsid w:val="0067395E"/>
    <w:rsid w:val="00693BC3"/>
    <w:rsid w:val="00695795"/>
    <w:rsid w:val="006A655A"/>
    <w:rsid w:val="006D25CA"/>
    <w:rsid w:val="006F37EA"/>
    <w:rsid w:val="006F53E9"/>
    <w:rsid w:val="00721B82"/>
    <w:rsid w:val="007456F0"/>
    <w:rsid w:val="007503BF"/>
    <w:rsid w:val="00750557"/>
    <w:rsid w:val="00754BBD"/>
    <w:rsid w:val="00763AAF"/>
    <w:rsid w:val="00773818"/>
    <w:rsid w:val="00783AD3"/>
    <w:rsid w:val="0080768A"/>
    <w:rsid w:val="00812457"/>
    <w:rsid w:val="00814C8B"/>
    <w:rsid w:val="00824729"/>
    <w:rsid w:val="0084683C"/>
    <w:rsid w:val="00863317"/>
    <w:rsid w:val="00887A9C"/>
    <w:rsid w:val="008C7C5C"/>
    <w:rsid w:val="008D150B"/>
    <w:rsid w:val="008F6D62"/>
    <w:rsid w:val="0090337E"/>
    <w:rsid w:val="0091259F"/>
    <w:rsid w:val="00950DB6"/>
    <w:rsid w:val="00950FEB"/>
    <w:rsid w:val="009543C3"/>
    <w:rsid w:val="00967B47"/>
    <w:rsid w:val="00967C5D"/>
    <w:rsid w:val="00972160"/>
    <w:rsid w:val="0097575E"/>
    <w:rsid w:val="0098328D"/>
    <w:rsid w:val="00993577"/>
    <w:rsid w:val="009A54DC"/>
    <w:rsid w:val="009A645D"/>
    <w:rsid w:val="009A7763"/>
    <w:rsid w:val="009D55BE"/>
    <w:rsid w:val="009F789A"/>
    <w:rsid w:val="00A44FD6"/>
    <w:rsid w:val="00A513FE"/>
    <w:rsid w:val="00A53294"/>
    <w:rsid w:val="00A60807"/>
    <w:rsid w:val="00A62EF0"/>
    <w:rsid w:val="00A70BDE"/>
    <w:rsid w:val="00A92319"/>
    <w:rsid w:val="00AB7922"/>
    <w:rsid w:val="00AC0C14"/>
    <w:rsid w:val="00AD0AFB"/>
    <w:rsid w:val="00AE63EA"/>
    <w:rsid w:val="00B07B55"/>
    <w:rsid w:val="00B20C9A"/>
    <w:rsid w:val="00B25C00"/>
    <w:rsid w:val="00B34ABB"/>
    <w:rsid w:val="00B6031F"/>
    <w:rsid w:val="00B67DC4"/>
    <w:rsid w:val="00B83E2B"/>
    <w:rsid w:val="00BA0BB4"/>
    <w:rsid w:val="00BA1D02"/>
    <w:rsid w:val="00BC0204"/>
    <w:rsid w:val="00BE2485"/>
    <w:rsid w:val="00BE45DA"/>
    <w:rsid w:val="00BE471D"/>
    <w:rsid w:val="00BE5DFF"/>
    <w:rsid w:val="00BE6333"/>
    <w:rsid w:val="00BF3133"/>
    <w:rsid w:val="00C16A76"/>
    <w:rsid w:val="00C306D2"/>
    <w:rsid w:val="00C326BE"/>
    <w:rsid w:val="00C45328"/>
    <w:rsid w:val="00C90DD5"/>
    <w:rsid w:val="00C92215"/>
    <w:rsid w:val="00C9223C"/>
    <w:rsid w:val="00CC5CA0"/>
    <w:rsid w:val="00CD0196"/>
    <w:rsid w:val="00D00422"/>
    <w:rsid w:val="00D03A5F"/>
    <w:rsid w:val="00D0747D"/>
    <w:rsid w:val="00D21C8B"/>
    <w:rsid w:val="00D415B7"/>
    <w:rsid w:val="00D747B6"/>
    <w:rsid w:val="00DB402C"/>
    <w:rsid w:val="00DC68CB"/>
    <w:rsid w:val="00DC7E52"/>
    <w:rsid w:val="00DD43C2"/>
    <w:rsid w:val="00DD507A"/>
    <w:rsid w:val="00DE1770"/>
    <w:rsid w:val="00E05296"/>
    <w:rsid w:val="00E32FE7"/>
    <w:rsid w:val="00E4418C"/>
    <w:rsid w:val="00E668A0"/>
    <w:rsid w:val="00E77C91"/>
    <w:rsid w:val="00E96DB2"/>
    <w:rsid w:val="00EC4FF7"/>
    <w:rsid w:val="00ED206D"/>
    <w:rsid w:val="00EE3B1D"/>
    <w:rsid w:val="00EF1A04"/>
    <w:rsid w:val="00F02994"/>
    <w:rsid w:val="00F1139B"/>
    <w:rsid w:val="00F31116"/>
    <w:rsid w:val="00F35327"/>
    <w:rsid w:val="00F43599"/>
    <w:rsid w:val="00F510B6"/>
    <w:rsid w:val="00F55CC5"/>
    <w:rsid w:val="00F94282"/>
    <w:rsid w:val="00F95D4E"/>
    <w:rsid w:val="00FA791C"/>
    <w:rsid w:val="00FB2862"/>
    <w:rsid w:val="00FC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5">
    <w:name w:val="14.5"/>
    <w:basedOn w:val="a"/>
    <w:rsid w:val="009F789A"/>
    <w:pPr>
      <w:ind w:right="-366"/>
    </w:pPr>
    <w:rPr>
      <w:spacing w:val="-8"/>
      <w:sz w:val="30"/>
      <w:szCs w:val="30"/>
    </w:rPr>
  </w:style>
  <w:style w:type="table" w:styleId="a3">
    <w:name w:val="Table Grid"/>
    <w:basedOn w:val="a1"/>
    <w:uiPriority w:val="39"/>
    <w:rsid w:val="00D07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34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A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4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4A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4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C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6C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Фиолетовый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5A9A9-760F-4F38-84ED-F2AE37F9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Коковкина Елена Юрьевна</dc:creator>
  <cp:lastModifiedBy>Elena</cp:lastModifiedBy>
  <cp:revision>2</cp:revision>
  <cp:lastPrinted>2024-08-26T11:56:00Z</cp:lastPrinted>
  <dcterms:created xsi:type="dcterms:W3CDTF">2025-05-08T07:06:00Z</dcterms:created>
  <dcterms:modified xsi:type="dcterms:W3CDTF">2025-05-08T07:06:00Z</dcterms:modified>
</cp:coreProperties>
</file>