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9A" w:rsidRDefault="0056739A" w:rsidP="0056739A">
      <w:pPr>
        <w:pStyle w:val="1"/>
        <w:shd w:val="clear" w:color="auto" w:fill="auto"/>
        <w:ind w:firstLine="720"/>
        <w:jc w:val="both"/>
        <w:rPr>
          <w:b/>
        </w:rPr>
      </w:pPr>
      <w:bookmarkStart w:id="0" w:name="_GoBack"/>
      <w:r w:rsidRPr="0056739A">
        <w:rPr>
          <w:b/>
        </w:rPr>
        <w:t>Инвестиционный вычет с 2025 года</w:t>
      </w:r>
    </w:p>
    <w:p w:rsidR="0056739A" w:rsidRPr="0056739A" w:rsidRDefault="0056739A" w:rsidP="0056739A">
      <w:pPr>
        <w:pStyle w:val="1"/>
        <w:shd w:val="clear" w:color="auto" w:fill="auto"/>
        <w:ind w:firstLine="720"/>
        <w:jc w:val="both"/>
        <w:rPr>
          <w:b/>
        </w:rPr>
      </w:pP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Министерство по налогам и сборам по отдельным вопросам, связанным с применением инвестиционного вычета с 2025 года, разъясняет следующее.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С 1 января 2025 года частью второй подпункта 2.2 пункта 2 статьи 170 Налогового кодекса Республики Беларусь (далее — НК) установлено, что инвестиционный вычет в отношении зданий и сооружений можно применить только в случае, если они являются зданиями и сооружениями производственного назначения.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 xml:space="preserve">Помимо этого, в соответствии с частью пятой подпункта 2.2 пункта 2 статьи 170 НК инвестиционный вычет, среди прочего, не может быть применен к административным зданиям, к сооружениям, используемым в административных целях, к зданиям, сооружениям, используемым (предназначенным для использования) в деятельности в сфере торговли, общественного питания. При этом к зданиям, используемым (предназначенным для использования) в деятельности в сфере общественного питания, не относятся здания производственного </w:t>
      </w:r>
      <w:r>
        <w:rPr>
          <w:color w:val="242424"/>
        </w:rPr>
        <w:t>назначения, в которых размещены столовые и иные объекты общественного питания.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При отнесении здания, сооружения к зданию, сооружению производственного назначения считаем возможным использовать информацию, содержащуюся в документах на их регистрацию, в отношении назначения здания, сооружения (например, в техническом паспорте, свидетельстве о государственной регистрации).</w:t>
      </w:r>
    </w:p>
    <w:p w:rsidR="0056739A" w:rsidRPr="005152CF" w:rsidRDefault="0056739A" w:rsidP="0056739A">
      <w:pPr>
        <w:pStyle w:val="1"/>
        <w:shd w:val="clear" w:color="auto" w:fill="auto"/>
        <w:ind w:firstLine="720"/>
        <w:jc w:val="both"/>
        <w:rPr>
          <w:color w:val="242424"/>
        </w:rPr>
      </w:pPr>
      <w:r>
        <w:t xml:space="preserve">Полагаем, что в случае отсутствия у организации документального подтверждения того, что это или иное здание, сооружение относится к зданию, сооружению производственного назначения, у организации </w:t>
      </w:r>
      <w:r w:rsidRPr="005152CF">
        <w:rPr>
          <w:color w:val="242424"/>
        </w:rPr>
        <w:t xml:space="preserve">отсутствуют основания для применения инвестиционного вычета по такому зданию, сооружению. 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 w:rsidRPr="005152CF">
        <w:rPr>
          <w:color w:val="242424"/>
        </w:rPr>
        <w:t>Назначение объектов недвижимого имущества определяется в соответствии с единой классификацией назначения объектов недвижимого</w:t>
      </w:r>
      <w:r>
        <w:t xml:space="preserve"> имущества (приложение к постановлению Комитета по земельным ресурсам, геодезии и картографии при Совете Министров Республики Беларусь от 05.07.2004 № 33) и указывается исходя из назначения расположенных в них помещений, занимающих большую площадь. Если какое-либо помещение имеет назначение, не соответствующее основному назначению здания или сооружения, то при определении их назначения кроме основного назначения здания или сооружения дополнительно используется назначение такого помещения (помещений) (примечание &lt;**&gt; к единой классификации назначения объектов недвижимого имущества).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lastRenderedPageBreak/>
        <w:t>Инвестиционный вычет, как и ранее, не может быть применен к части объекта основных средств.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Исходя из правовых предписаний указанных выше норм с 1 января 2025 года организации вправе применить инвестиционный вычет исключительно в отношении зданий и сооружений, которые исходя из их документального оформления фактически используются (предназначены для использования) в производстве продукции, и не вправе применить инвестиционный вычет в отношении зданий и сооружений, используемых (предназначенных для использования) при оказании услуг, выполнении работ.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 xml:space="preserve">С учетом изложенного инвестиционный вычет может быть применен, </w:t>
      </w:r>
      <w:proofErr w:type="gramStart"/>
      <w:r>
        <w:t>например</w:t>
      </w:r>
      <w:proofErr w:type="gramEnd"/>
      <w:r>
        <w:t>: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proofErr w:type="gramStart"/>
      <w:r>
        <w:t>по зданию</w:t>
      </w:r>
      <w:proofErr w:type="gramEnd"/>
      <w:r>
        <w:t xml:space="preserve"> специализированному для производства транспортных средств и (или) оборудования, которое отнесено к используемому в предпринимательской деятельности (в том числе в случае, если в нем расположены буфет, тренажерные залы, гараж, столовая);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proofErr w:type="gramStart"/>
      <w:r>
        <w:t>по зданию</w:t>
      </w:r>
      <w:proofErr w:type="gramEnd"/>
      <w:r>
        <w:t xml:space="preserve"> специализированному для производства текстильных, швейных, меховых и (или) кожаных изделий, в котором кроме цехов, используемых для производства продукции, находятся помещения, используемые для администрации организации (директора, бухгалтера).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 xml:space="preserve">Инвестиционный вычет не может быть применен в отношении, </w:t>
      </w:r>
      <w:proofErr w:type="gramStart"/>
      <w:r>
        <w:t>например</w:t>
      </w:r>
      <w:proofErr w:type="gramEnd"/>
      <w:r>
        <w:t>: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здания специализированного для ремонта и (или) технического обслуживания автомобилей (в том числе автомобильные заправочные, зарядные и газонаполнительные станции);</w:t>
      </w:r>
    </w:p>
    <w:p w:rsidR="0056739A" w:rsidRDefault="0056739A" w:rsidP="0056739A">
      <w:pPr>
        <w:pStyle w:val="1"/>
        <w:shd w:val="clear" w:color="auto" w:fill="auto"/>
        <w:ind w:left="720" w:right="700" w:firstLine="0"/>
        <w:jc w:val="both"/>
      </w:pPr>
      <w:r>
        <w:t>здания специализированного финансового назначения;</w:t>
      </w:r>
    </w:p>
    <w:p w:rsidR="0056739A" w:rsidRDefault="0056739A" w:rsidP="0056739A">
      <w:pPr>
        <w:pStyle w:val="1"/>
        <w:shd w:val="clear" w:color="auto" w:fill="auto"/>
        <w:ind w:left="720" w:right="700" w:firstLine="0"/>
        <w:jc w:val="both"/>
      </w:pPr>
      <w:r>
        <w:t>здания специализированного для оказания ветеринарных услуг;</w:t>
      </w:r>
    </w:p>
    <w:p w:rsidR="0056739A" w:rsidRDefault="0056739A" w:rsidP="0056739A">
      <w:pPr>
        <w:pStyle w:val="1"/>
        <w:shd w:val="clear" w:color="auto" w:fill="auto"/>
        <w:ind w:left="720" w:right="700" w:firstLine="0"/>
        <w:jc w:val="both"/>
      </w:pPr>
      <w:r>
        <w:t>по отдельно стоящему зданию торговли;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proofErr w:type="gramStart"/>
      <w:r>
        <w:t>по зданию</w:t>
      </w:r>
      <w:proofErr w:type="gramEnd"/>
      <w:r>
        <w:t xml:space="preserve"> специализированному иного назначения.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При этом в отношении передаточных устройств, используемых в предпринимательской деятельности, инвестиционный вычет применяется независимо от их назначения.</w:t>
      </w:r>
    </w:p>
    <w:p w:rsidR="0056739A" w:rsidRDefault="0056739A" w:rsidP="0056739A">
      <w:pPr>
        <w:pStyle w:val="1"/>
        <w:shd w:val="clear" w:color="auto" w:fill="auto"/>
        <w:ind w:firstLine="720"/>
        <w:jc w:val="both"/>
      </w:pPr>
      <w:r>
        <w:t>Также с 1 января 2025 года инвестиционный вычет не применяется к основным средствам, нормативный срок службы которых, установленный законодательством, регулирующим нормативные сроки службы основных средств, составляет менее 5 лет, и стоимости вложений в их реконструкцию.</w:t>
      </w:r>
    </w:p>
    <w:p w:rsidR="0056739A" w:rsidRDefault="0056739A" w:rsidP="0056739A">
      <w:pPr>
        <w:pStyle w:val="1"/>
        <w:shd w:val="clear" w:color="auto" w:fill="auto"/>
        <w:ind w:firstLine="560"/>
        <w:jc w:val="both"/>
      </w:pPr>
      <w:r>
        <w:t xml:space="preserve">Нормативный срок службы объектов основных средств, установленный законодательством, регулирующим нормативные сроки службы основных средств, в целях применения инвестиционного вычета определяется исключительно по сроку, указанному в приложении к постановлению Министерства экономики Республики Беларусь от 30.09.2011 № 161 «Об </w:t>
      </w:r>
      <w:r>
        <w:lastRenderedPageBreak/>
        <w:t>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Беларусь».</w:t>
      </w:r>
    </w:p>
    <w:p w:rsidR="0056739A" w:rsidRDefault="0056739A" w:rsidP="0056739A">
      <w:pPr>
        <w:pStyle w:val="1"/>
        <w:shd w:val="clear" w:color="auto" w:fill="auto"/>
        <w:ind w:firstLine="560"/>
        <w:jc w:val="both"/>
      </w:pPr>
      <w:r>
        <w:t xml:space="preserve">Соответственно организации вправе применить инвестиционный вычет в отношении основных средств, нормативный срок службы которых согласно </w:t>
      </w:r>
      <w:proofErr w:type="gramStart"/>
      <w:r>
        <w:t>приложению</w:t>
      </w:r>
      <w:proofErr w:type="gramEnd"/>
      <w:r>
        <w:t xml:space="preserve"> к вышеуказанному постановлению № 161 составляет 5 и более лет.</w:t>
      </w:r>
    </w:p>
    <w:p w:rsidR="0056739A" w:rsidRDefault="0056739A" w:rsidP="0056739A">
      <w:pPr>
        <w:pStyle w:val="1"/>
        <w:shd w:val="clear" w:color="auto" w:fill="auto"/>
        <w:ind w:firstLine="0"/>
        <w:jc w:val="both"/>
      </w:pPr>
    </w:p>
    <w:p w:rsidR="007155B8" w:rsidRPr="007155B8" w:rsidRDefault="007155B8" w:rsidP="007155B8">
      <w:pPr>
        <w:pStyle w:val="il-text-alignright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</w:t>
      </w:r>
      <w:r w:rsidRPr="007155B8">
        <w:rPr>
          <w:rStyle w:val="word-wrapper"/>
          <w:color w:val="242424"/>
          <w:sz w:val="30"/>
          <w:szCs w:val="30"/>
        </w:rPr>
        <w:t>фициальн</w:t>
      </w:r>
      <w:r>
        <w:rPr>
          <w:rStyle w:val="word-wrapper"/>
          <w:color w:val="242424"/>
          <w:sz w:val="30"/>
          <w:szCs w:val="30"/>
        </w:rPr>
        <w:t>ый</w:t>
      </w:r>
      <w:r w:rsidRPr="007155B8">
        <w:rPr>
          <w:rStyle w:val="word-wrapper"/>
          <w:color w:val="242424"/>
          <w:sz w:val="30"/>
          <w:szCs w:val="30"/>
        </w:rPr>
        <w:t xml:space="preserve"> сайт</w:t>
      </w:r>
    </w:p>
    <w:p w:rsidR="007155B8" w:rsidRPr="007155B8" w:rsidRDefault="007155B8" w:rsidP="007155B8">
      <w:pPr>
        <w:pStyle w:val="il-text-alignright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 w:rsidRPr="007155B8">
        <w:rPr>
          <w:rStyle w:val="word-wrapper"/>
          <w:color w:val="242424"/>
          <w:sz w:val="30"/>
          <w:szCs w:val="30"/>
        </w:rPr>
        <w:t>Министерства по налогам и сборам</w:t>
      </w:r>
    </w:p>
    <w:p w:rsidR="007155B8" w:rsidRPr="007155B8" w:rsidRDefault="007155B8" w:rsidP="007155B8">
      <w:pPr>
        <w:pStyle w:val="il-text-alignright"/>
        <w:shd w:val="clear" w:color="auto" w:fill="FFFFFF"/>
        <w:spacing w:before="0" w:beforeAutospacing="0" w:after="0" w:afterAutospacing="0"/>
        <w:rPr>
          <w:rStyle w:val="word-wrapper"/>
          <w:color w:val="242424"/>
          <w:sz w:val="30"/>
          <w:szCs w:val="30"/>
        </w:rPr>
      </w:pPr>
      <w:r w:rsidRPr="007155B8">
        <w:rPr>
          <w:rStyle w:val="word-wrapper"/>
          <w:color w:val="242424"/>
          <w:sz w:val="30"/>
          <w:szCs w:val="30"/>
        </w:rPr>
        <w:t xml:space="preserve">Республики Беларусь </w:t>
      </w:r>
    </w:p>
    <w:p w:rsidR="0056739A" w:rsidRDefault="0056739A" w:rsidP="0056739A">
      <w:pPr>
        <w:pStyle w:val="1"/>
        <w:shd w:val="clear" w:color="auto" w:fill="auto"/>
        <w:ind w:firstLine="0"/>
        <w:jc w:val="both"/>
      </w:pPr>
      <w:hyperlink r:id="rId6" w:history="1">
        <w:r w:rsidRPr="00A50F71">
          <w:rPr>
            <w:rStyle w:val="a6"/>
          </w:rPr>
          <w:t>https://nalog.gov.by/clarifications/clarifications/31103/?sphrase_id=50394273</w:t>
        </w:r>
      </w:hyperlink>
    </w:p>
    <w:p w:rsidR="0056739A" w:rsidRDefault="0056739A" w:rsidP="0056739A">
      <w:pPr>
        <w:pStyle w:val="1"/>
        <w:shd w:val="clear" w:color="auto" w:fill="auto"/>
        <w:ind w:firstLine="0"/>
        <w:jc w:val="both"/>
      </w:pPr>
    </w:p>
    <w:bookmarkEnd w:id="0"/>
    <w:p w:rsidR="00A66369" w:rsidRDefault="00A66369"/>
    <w:sectPr w:rsidR="00A66369" w:rsidSect="0056739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059" w:right="512" w:bottom="1578" w:left="16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67" w:rsidRDefault="00EC0867" w:rsidP="0056739A">
      <w:r>
        <w:separator/>
      </w:r>
    </w:p>
  </w:endnote>
  <w:endnote w:type="continuationSeparator" w:id="0">
    <w:p w:rsidR="00EC0867" w:rsidRDefault="00EC0867" w:rsidP="005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41" w:rsidRDefault="00EC086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41" w:rsidRDefault="00EC086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41" w:rsidRDefault="00EC086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67" w:rsidRDefault="00EC0867" w:rsidP="0056739A">
      <w:r>
        <w:separator/>
      </w:r>
    </w:p>
  </w:footnote>
  <w:footnote w:type="continuationSeparator" w:id="0">
    <w:p w:rsidR="00EC0867" w:rsidRDefault="00EC0867" w:rsidP="0056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41" w:rsidRDefault="00E756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8A8DF9" wp14:editId="23752C87">
              <wp:simplePos x="0" y="0"/>
              <wp:positionH relativeFrom="page">
                <wp:posOffset>4100830</wp:posOffset>
              </wp:positionH>
              <wp:positionV relativeFrom="page">
                <wp:posOffset>346075</wp:posOffset>
              </wp:positionV>
              <wp:extent cx="7620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6E41" w:rsidRDefault="00E756F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F08D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A8DF9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22.9pt;margin-top:27.25pt;width:6pt;height:10.8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" filled="f" stroked="f">
              <v:textbox style="mso-fit-shape-to-text:t" inset="0,0,0,0">
                <w:txbxContent>
                  <w:p w:rsidR="00396E41" w:rsidRDefault="00E756F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F08DB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41" w:rsidRDefault="00E756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39EAD1" wp14:editId="05F2417A">
              <wp:simplePos x="0" y="0"/>
              <wp:positionH relativeFrom="page">
                <wp:posOffset>4100830</wp:posOffset>
              </wp:positionH>
              <wp:positionV relativeFrom="page">
                <wp:posOffset>446405</wp:posOffset>
              </wp:positionV>
              <wp:extent cx="7620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6E41" w:rsidRDefault="00EC0867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9EAD1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22.9pt;margin-top:35.15pt;width:6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" filled="f" stroked="f">
              <v:textbox style="mso-fit-shape-to-text:t" inset="0,0,0,0">
                <w:txbxContent>
                  <w:p w:rsidR="00396E41" w:rsidRDefault="00EC0867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9A"/>
    <w:rsid w:val="002D6192"/>
    <w:rsid w:val="0056739A"/>
    <w:rsid w:val="006D55F6"/>
    <w:rsid w:val="007155B8"/>
    <w:rsid w:val="00A66369"/>
    <w:rsid w:val="00E756FA"/>
    <w:rsid w:val="00E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FE254A-FAA7-46C0-A192-75048B62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739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739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Колонтитул (2)_"/>
    <w:basedOn w:val="a0"/>
    <w:link w:val="20"/>
    <w:rsid w:val="0056739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6739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Колонтитул (2)"/>
    <w:basedOn w:val="a"/>
    <w:link w:val="2"/>
    <w:rsid w:val="0056739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5673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739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56739A"/>
    <w:rPr>
      <w:color w:val="0563C1" w:themeColor="hyperlink"/>
      <w:u w:val="single"/>
    </w:rPr>
  </w:style>
  <w:style w:type="character" w:customStyle="1" w:styleId="word-wrapper">
    <w:name w:val="word-wrapper"/>
    <w:rsid w:val="007155B8"/>
  </w:style>
  <w:style w:type="paragraph" w:customStyle="1" w:styleId="il-text-alignright">
    <w:name w:val="il-text-align_right"/>
    <w:basedOn w:val="a"/>
    <w:rsid w:val="007155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FollowedHyperlink"/>
    <w:basedOn w:val="a0"/>
    <w:uiPriority w:val="99"/>
    <w:semiHidden/>
    <w:unhideWhenUsed/>
    <w:rsid w:val="00715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clarifications/31103/?sphrase_id=50394273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2025-06-09T07:29:00Z</dcterms:created>
  <dcterms:modified xsi:type="dcterms:W3CDTF">2025-06-09T07:29:00Z</dcterms:modified>
</cp:coreProperties>
</file>