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A6" w:rsidRPr="006314A6" w:rsidRDefault="006314A6" w:rsidP="006314A6">
      <w:pPr>
        <w:spacing w:before="7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14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Информация об открытых иностранными донорами конкурсах, программах по оказанию иностранной безвозмездной помощи 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2665"/>
        <w:gridCol w:w="3622"/>
        <w:gridCol w:w="2524"/>
        <w:gridCol w:w="5257"/>
      </w:tblGrid>
      <w:tr w:rsidR="006314A6" w:rsidRPr="006314A6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Организаторы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Тематика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Примечание</w:t>
            </w:r>
          </w:p>
        </w:tc>
      </w:tr>
      <w:tr w:rsidR="006314A6" w:rsidRPr="006314A6" w:rsidTr="006314A6">
        <w:trPr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Россия</w:t>
            </w:r>
          </w:p>
        </w:tc>
      </w:tr>
      <w:tr w:rsidR="006314A6" w:rsidRPr="006314A6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Фонд «Линия жизни»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Протонная терапия, «ИВЛ в домашних условиях» (осуществляется в партнерстве с Министерством здравоохранения Российской Федерация), программа молекулярно-генетических обследований, восстановительное лечение, лазерная хирургия, финансирование высокотехнологических медицинских исследований и закупки медицинского 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оборудования для нужд медицинских организаций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lastRenderedPageBreak/>
              <w:t>З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дравоохранение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Фонд «Линия жизни» оказывает адресную помощь детям до 18 лет, жизнь которых находится под угрозой из-за опасных заболеваний, финансирует приобретение медицинского оборудования, медицинские исследования.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4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https://www.life-line.ru/</w:t>
              </w:r>
            </w:hyperlink>
          </w:p>
        </w:tc>
      </w:tr>
      <w:tr w:rsidR="006314A6" w:rsidRPr="006314A6" w:rsidTr="006314A6">
        <w:trPr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Япония</w:t>
            </w:r>
          </w:p>
        </w:tc>
      </w:tr>
      <w:tr w:rsidR="006314A6" w:rsidRPr="006314A6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Посольство Японии в Минске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Грантовая программа Правительства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«Корни травы»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дравоохранени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е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казание содействия в реализации проектов, инициированных как неправительственными организациями, так и местными правительственными органами.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Грантовая помощь подразумевает предоставление средств для закупки оборудования, а также оснащения учреждений. Основная цель программы в Республике Беларусь – помощь пострадавшим от аварии на Чернобыльской АЭС и ее последствий.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5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https://www.by.emb-japan.go.jp/itpr_ru/index19.html</w:t>
              </w:r>
            </w:hyperlink>
          </w:p>
        </w:tc>
      </w:tr>
      <w:tr w:rsidR="006314A6" w:rsidRPr="006314A6" w:rsidTr="006314A6">
        <w:trPr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Германия</w:t>
            </w:r>
          </w:p>
        </w:tc>
      </w:tr>
      <w:tr w:rsidR="006314A6" w:rsidRPr="00330EA8" w:rsidTr="006314A6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Фонд </w:t>
            </w: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«Память, Ответственность, Будущее»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Фонд поддерживает международные проекты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Проекты на историческую тематику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14A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hyperlink r:id="rId6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://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mestovstrechi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.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info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/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ru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/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o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—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programme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/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fond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—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pamyat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—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otvetstvennost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—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i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val="be-BY" w:eastAsia="ru-RU"/>
                </w:rPr>
                <w:t>—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buduschee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Австрия</w:t>
            </w:r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Австрийское агентство развития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(Austrian Development Agency (ADA)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Финансовый инструмент «Индивидуальные проекты Восток»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(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Funding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instrument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«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Individual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Projects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  <w:t>East</w:t>
            </w:r>
            <w:r w:rsidRPr="006314A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»)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Устойчивое улучшение условий жизни и перспектив развития населения развивающихся стран, снижение уровня бедности и выполнение ЦУР ООН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Австрийское агентство развития (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Austrian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Development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Agency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ADA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является уполномоченным органом в выполнении программы «Индивидуальные проекты Востока», предусматривающей финансовое содействие в реализации проектов в странах Восточной Европы, в том числе и в Беларуси.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Право подавать заявку имеют исключительно зарегистрированные в Австрии организации, осуществляющие в соответствии с уставными документами деятельность в области содействия устойчивому развитию.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Проектная заявка должна в обязательном порядке содержать указание местного партнера – НПО, зарегистрированного в той стране, в которой предполагается реализация проекта. Максимально возможная сумма финансирования проектов ADA – 300 тыс. евро. Обязательное условие – участие заявителя в финансировании. Агентство может профинансировать не более 25 % общего бюджета проекта, реализуемого в Беларуси.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Cc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ылка:</w:t>
            </w:r>
          </w:p>
          <w:p w:rsidR="006314A6" w:rsidRPr="006314A6" w:rsidRDefault="00C97819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7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https://www.entwicklung.at/en/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Великобритания</w:t>
            </w:r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Национальный институт исследований в сфере здравоохранения (National Institute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of Health Research)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Конкурс проектных заявок в рамках программы «NIHR Global Health Research Units»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Научные исследования в сфере здравоохранения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Финансирование предоставляется в целях поддержки партнерств между исследователями и учреждениями Великобритании и стран-бенефициаров официальной помощи в сфере развития, которые имеют опыт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проведения международно признанных прикладных исследований в области глобального здравоохранения.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8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https://www.gov.uk/international-development-funding/nihr-global-health-research-units-research-and-innovation</w:t>
              </w:r>
            </w:hyperlink>
          </w:p>
          <w:p w:rsidR="006314A6" w:rsidRPr="006314A6" w:rsidRDefault="00C97819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9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https://www.nihr.ac.uk/funding/nihr-global-health-research-units/24739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Национальный институт исследований в сфере здравоохранения (National Institute of Health Research)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Конкурс проектных заявок в рамках программы «NIHR Global Health Research Groups»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Научные исследования в сфере здравоохранения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Финансирование предоставляется в целях поддержки сотрудничества между исследователями университетов и научных институтов Великобритании и стран-бенефициаров официальной помощи в сфере развития, которые недавно начали проводить прикладные исследования в сфере глобального здравоохранения либо намерены расширить существующие партнерства, в особенности в сферах,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менее всего охваченных исследованиями.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0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https://www.gov.uk/international-development-funding/nihr-global-health-research-groups-research-and-innovation</w:t>
              </w:r>
            </w:hyperlink>
          </w:p>
          <w:p w:rsidR="006314A6" w:rsidRPr="006314A6" w:rsidRDefault="00C97819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1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https://www.nihr.ac.uk/funding/nihr-global-health-research-groups/24743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Национальный институт исследований в сфере здравоохранения (National Institute of Health Research)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Конкурс проектных заявок в рамках программы «NIHR Global Health Research Centres»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Научные исследования в сфере здравоохранения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Финансирование предоставляется в целях поддержки исследований в сфере неинфекционных заболеваний и развития исследовательского потенциала.</w:t>
            </w:r>
          </w:p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2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https://www.gov.uk/international-development-funding/nihr-global-health-research-centres-research-and-innovation</w:t>
              </w:r>
            </w:hyperlink>
          </w:p>
          <w:p w:rsidR="006314A6" w:rsidRPr="006314A6" w:rsidRDefault="00C97819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3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https://www.nihr.ac.uk/funding/global-health-research-centres-call-1-research-and-institutional-capacity-strengthening-</w:t>
              </w:r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lastRenderedPageBreak/>
                <w:t>in-non-communicable-diseases/24758</w:t>
              </w:r>
            </w:hyperlink>
          </w:p>
        </w:tc>
      </w:tr>
      <w:tr w:rsidR="006314A6" w:rsidRPr="006314A6" w:rsidTr="006314A6">
        <w:trPr>
          <w:trHeight w:val="195"/>
          <w:tblCellSpacing w:w="0" w:type="dxa"/>
        </w:trPr>
        <w:tc>
          <w:tcPr>
            <w:tcW w:w="14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95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Ирландия</w:t>
            </w:r>
          </w:p>
        </w:tc>
      </w:tr>
      <w:tr w:rsidR="006314A6" w:rsidRPr="006314A6" w:rsidTr="006314A6">
        <w:trPr>
          <w:trHeight w:val="18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Ирландск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ая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благотворительн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ая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Chernobyl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Children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’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trust</w:t>
            </w: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в Беларуси основных программ по защите и поддержке инвалидов, укреплению здоровья детей и их семей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Здравоохранение, социальная защита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A6" w:rsidRPr="006314A6" w:rsidRDefault="006314A6" w:rsidP="006314A6">
            <w:pPr>
              <w:spacing w:before="7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14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Ссылка:</w:t>
            </w:r>
          </w:p>
          <w:p w:rsidR="006314A6" w:rsidRPr="006314A6" w:rsidRDefault="00C97819" w:rsidP="006314A6">
            <w:pPr>
              <w:spacing w:before="71" w:after="100" w:afterAutospacing="1" w:line="18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4" w:history="1">
              <w:r w:rsidR="006314A6" w:rsidRPr="006314A6">
                <w:rPr>
                  <w:rFonts w:ascii="Times New Roman" w:eastAsia="Times New Roman" w:hAnsi="Times New Roman" w:cs="Times New Roman"/>
                  <w:color w:val="008000"/>
                  <w:sz w:val="30"/>
                  <w:szCs w:val="30"/>
                  <w:u w:val="single"/>
                  <w:lang w:eastAsia="ru-RU"/>
                </w:rPr>
                <w:t>http://www.chernobylchildrenstrust.ie/</w:t>
              </w:r>
            </w:hyperlink>
          </w:p>
        </w:tc>
      </w:tr>
    </w:tbl>
    <w:p w:rsidR="0041696E" w:rsidRPr="006314A6" w:rsidRDefault="0041696E">
      <w:pPr>
        <w:rPr>
          <w:rFonts w:ascii="Times New Roman" w:hAnsi="Times New Roman" w:cs="Times New Roman"/>
          <w:sz w:val="30"/>
          <w:szCs w:val="30"/>
        </w:rPr>
      </w:pPr>
    </w:p>
    <w:sectPr w:rsidR="0041696E" w:rsidRPr="006314A6" w:rsidSect="00631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6314A6"/>
    <w:rsid w:val="00174EA1"/>
    <w:rsid w:val="00330EA8"/>
    <w:rsid w:val="0041696E"/>
    <w:rsid w:val="006314A6"/>
    <w:rsid w:val="00974077"/>
    <w:rsid w:val="00C9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6E"/>
  </w:style>
  <w:style w:type="paragraph" w:styleId="2">
    <w:name w:val="heading 2"/>
    <w:basedOn w:val="a"/>
    <w:link w:val="20"/>
    <w:uiPriority w:val="9"/>
    <w:qFormat/>
    <w:rsid w:val="0063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D2F5E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4A6"/>
    <w:rPr>
      <w:rFonts w:ascii="Times New Roman" w:eastAsia="Times New Roman" w:hAnsi="Times New Roman" w:cs="Times New Roman"/>
      <w:b/>
      <w:bCs/>
      <w:color w:val="1D2F5E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9257">
                  <w:marLeft w:val="25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international-development-funding/nihr-global-health-research-units-research-and-innovation" TargetMode="External"/><Relationship Id="rId13" Type="http://schemas.openxmlformats.org/officeDocument/2006/relationships/hyperlink" Target="https://www.nihr.ac.uk/funding/global-health-research-centres-call-1-research-and-institutional-capacity-strengthening-in-non-communicable-diseases/247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twicklung.at/en/" TargetMode="External"/><Relationship Id="rId12" Type="http://schemas.openxmlformats.org/officeDocument/2006/relationships/hyperlink" Target="https://www.gov.uk/international-development-funding/nihr-global-health-research-centres-research-and-innov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stovstrechi.info/ru/o-programme/fond-pamyat-otvetstvennost-i-buduschee" TargetMode="External"/><Relationship Id="rId11" Type="http://schemas.openxmlformats.org/officeDocument/2006/relationships/hyperlink" Target="https://www.nihr.ac.uk/funding/nihr-global-health-research-groups/24743" TargetMode="External"/><Relationship Id="rId5" Type="http://schemas.openxmlformats.org/officeDocument/2006/relationships/hyperlink" Target="https://www.by.emb-japan.go.jp/itpr_ru/index1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uk/international-development-funding/nihr-global-health-research-groups-research-and-innovation" TargetMode="External"/><Relationship Id="rId4" Type="http://schemas.openxmlformats.org/officeDocument/2006/relationships/hyperlink" Target="https://www.life-line.ru/" TargetMode="External"/><Relationship Id="rId9" Type="http://schemas.openxmlformats.org/officeDocument/2006/relationships/hyperlink" Target="https://www.nihr.ac.uk/funding/nihr-global-health-research-units/24739" TargetMode="External"/><Relationship Id="rId14" Type="http://schemas.openxmlformats.org/officeDocument/2006/relationships/hyperlink" Target="http://www.chernobylchildrenstrust.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kaminskiy</dc:creator>
  <cp:lastModifiedBy>Borbet</cp:lastModifiedBy>
  <cp:revision>2</cp:revision>
  <cp:lastPrinted>2021-06-28T12:04:00Z</cp:lastPrinted>
  <dcterms:created xsi:type="dcterms:W3CDTF">2021-07-08T08:03:00Z</dcterms:created>
  <dcterms:modified xsi:type="dcterms:W3CDTF">2021-07-08T08:03:00Z</dcterms:modified>
</cp:coreProperties>
</file>