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964BB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3. Не признается охотой нахождение лиц:</w:t>
      </w:r>
    </w:p>
    <w:p w14:paraId="009A2C36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или иных местах обитания охотничьих животных с разряженным зачехленным охотничьим оружием, и (или) патронами, и (или) капканами, и (или) другими ловушками в случае следования к месту (из места) охоты при наличии у указанных лиц охотничьей путевки и (или) разрешения на добычу охотничьего животного и охотничьей путевки к нему. При этом указанные орудия охоты, находящиеся у данных лиц, должны соответствовать разрешенным для охоты по этим охотничьей путевке и (или) разрешению на добычу охотничьего животного и охотничьей путевке к нему орудиям охоты согласно приложению 2;</w:t>
      </w:r>
    </w:p>
    <w:p w14:paraId="359EB1AA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с разряженным зачехленным охотничьим оружием, и (или) патронами, и (или) капканами, и (или) другими ловушками в случае ожидания разрешенного для охоты времени при наличии охотничьей путевки и (или) разрешения на добычу охотничьего животного и охотничьей путевки к нему. При этом указанные орудия охоты, находящиеся у данных лиц, должны соответствовать разрешенным для охоты по этим охотничьей путевке и (или) разрешению на добычу охотничьего животного и охотничьей путевке к нему орудиям охоты согласно приложению 2;</w:t>
      </w:r>
    </w:p>
    <w:p w14:paraId="24129A62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с разряженным зачехленным охотничьим оружием, и (или) патронами, и (или) капканами, и (или) другими ловушками после проведения охоты на охотничьих животных нормируемых видов с назначением руководителя охоты до окончания срока действия охотничьей путевки к разрешению на добычу охотничьего животного, в соответствии с которой осуществлялась данная охота, а также в течение шести часов после окончания срока действия указанной охотничьей путевки в целях разделки продукции охоты и (или) отдыха;</w:t>
      </w:r>
    </w:p>
    <w:p w14:paraId="78B95573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с разряженным зачехленным охотничьим оружием и (или) патронами после проведения охоты на охотничьих животных нормируемых видов (кроме бобра и выдры) без назначения руководителя охоты до окончания срока действия охотничьей путевки к разрешению на добычу охотничьего животного, в соответствии с которой осуществлялась данная охота, а также в течение шести часов после окончания срока действия указанной охотничьей путевки в целях разделки продукции охоты и (или) отдыха;</w:t>
      </w:r>
    </w:p>
    <w:p w14:paraId="7910114A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 xml:space="preserve">в охотничьих угодьях с разряженным зачехленным охотничьим оружием, и (или) патронами, и (или) капканами, и (или) другими ловушками после проведения охоты на бобра и (или) выдру без назначения руководителя охоты в течение шести часов после закрытия последнего разрешения на </w:t>
      </w:r>
      <w:r w:rsidRPr="001A1AF7">
        <w:rPr>
          <w:rFonts w:ascii="Times New Roman" w:hAnsi="Times New Roman" w:cs="Times New Roman"/>
          <w:sz w:val="28"/>
          <w:szCs w:val="28"/>
        </w:rPr>
        <w:lastRenderedPageBreak/>
        <w:t>добычу охотничьего животного в целях разделки продукции охоты и (или) отдыха;</w:t>
      </w:r>
    </w:p>
    <w:p w14:paraId="78742F1A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пользования, проходящих через охотничьи угодья или иные места обитания охотничьих животных, с разряженным зачехленным охотничьим оружием, и (или) патронами, и (или) капканами, и (или) другими ловушками в целях их перемещения, перевозки (транспортировки), в том числе следования к месту охоты и обратно;</w:t>
      </w:r>
    </w:p>
    <w:p w14:paraId="1C3FF5F4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 xml:space="preserve">на дорогах, проходящих через охотничьи угодья или иные места обитания охотничьих животных, определенных решениями пользователя охотничьих угодий, а в фонде запаса охотничьих угодий и запретных для охоты зонах – решениями местных исполнительных и распорядительных органов, с разряженным зачехленным охотничьим оружием, и (или) патронами, и (или) капканами, и (или) другими ловушками в целях следования к местам временного проживания охотников (дома охотника, </w:t>
      </w:r>
      <w:proofErr w:type="spellStart"/>
      <w:r w:rsidRPr="001A1AF7">
        <w:rPr>
          <w:rFonts w:ascii="Times New Roman" w:hAnsi="Times New Roman" w:cs="Times New Roman"/>
          <w:sz w:val="28"/>
          <w:szCs w:val="28"/>
        </w:rPr>
        <w:t>агроусадьбы</w:t>
      </w:r>
      <w:proofErr w:type="spellEnd"/>
      <w:r w:rsidRPr="001A1AF7">
        <w:rPr>
          <w:rFonts w:ascii="Times New Roman" w:hAnsi="Times New Roman" w:cs="Times New Roman"/>
          <w:sz w:val="28"/>
          <w:szCs w:val="28"/>
        </w:rPr>
        <w:t xml:space="preserve"> и другое) или к местам их сбора (в охотничьих угодьях непосредственно перед проведением охоты) и обратно. Принятые решения в пятидневный срок подлежат опубликованию в средствах массовой информации и направлению в территориальные органы Государственной инспекции охраны животного и растительного мира при Президенте Республики Беларусь;</w:t>
      </w:r>
    </w:p>
    <w:p w14:paraId="5CCB4EB5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на дорогах, проходящих через охотничьи угодья или иные места обитания охотничьих животных, определенных решениями пользователя охотничьих угодий, а в фонде запаса и запретных для охоты зонах – решениями местных исполнительных и распорядительных органов, согласованными с территориальными органами Государственной инспекции охраны животного и растительного мира при Президенте Республики Беларусь, с разряженным зачехленным охотничьим оружием и (или) патронами в целях следования к специально отведенным местам для пристрелки охотничьего оружия, выделенным в соответствии с пунктом 155 настоящих Правил, и обратно. Сведения о таких дорогах размещаются в информационной системе в сети Интернет;</w:t>
      </w:r>
    </w:p>
    <w:p w14:paraId="7E975103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или иных местах обитания охотничьих животных с собакой и (или) ловчей птицей, не работающими по диким животным;</w:t>
      </w:r>
    </w:p>
    <w:p w14:paraId="0E0BE970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или иных местах обитания охотничьих животных с собакой и (или) ловчей птицей, участвующими в испытаниях, соревнованиях, в процессе тренировки в соответствии с пунктами 135 и (или) 138 настоящих Правил, а также подготовки их к данным мероприятиям;</w:t>
      </w:r>
    </w:p>
    <w:p w14:paraId="7A071F36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 xml:space="preserve">в охотничьих угодьях или иных местах обитания охотничьих животных с боевым, служебным или спортивным оружием в связи с выполнением </w:t>
      </w:r>
      <w:r w:rsidRPr="001A1AF7">
        <w:rPr>
          <w:rFonts w:ascii="Times New Roman" w:hAnsi="Times New Roman" w:cs="Times New Roman"/>
          <w:sz w:val="28"/>
          <w:szCs w:val="28"/>
        </w:rPr>
        <w:lastRenderedPageBreak/>
        <w:t>указанными лицами своих должностных обязанностей либо участием в спортивных мероприятиях;</w:t>
      </w:r>
    </w:p>
    <w:p w14:paraId="7E455D4A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в охотничьих угодьях с патронами, за исключением случаев, когда оружие заряжено данными патронами.</w:t>
      </w:r>
    </w:p>
    <w:p w14:paraId="4618D7B1" w14:textId="77777777" w:rsidR="001A1AF7" w:rsidRPr="001A1AF7" w:rsidRDefault="001A1AF7" w:rsidP="001A1AF7">
      <w:pPr>
        <w:rPr>
          <w:rFonts w:ascii="Times New Roman" w:hAnsi="Times New Roman" w:cs="Times New Roman"/>
          <w:sz w:val="28"/>
          <w:szCs w:val="28"/>
        </w:rPr>
      </w:pPr>
      <w:r w:rsidRPr="001A1AF7">
        <w:rPr>
          <w:rFonts w:ascii="Times New Roman" w:hAnsi="Times New Roman" w:cs="Times New Roman"/>
          <w:sz w:val="28"/>
          <w:szCs w:val="28"/>
        </w:rPr>
        <w:t>Не признается охотой добыча диких зверей и (или) птиц с использованием орудий и способов охоты на основании разрешений, выданных Министерством природных ресурсов и охраны окружающей среды, а также вольерная охота</w:t>
      </w:r>
    </w:p>
    <w:p w14:paraId="147FEFCE" w14:textId="77777777" w:rsidR="001F50E7" w:rsidRDefault="001F50E7"/>
    <w:sectPr w:rsidR="001F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E7"/>
    <w:rsid w:val="001A1AF7"/>
    <w:rsid w:val="001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4740F-E86D-4288-99F4-C2D90C20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2020-10-23T06:28:00Z</dcterms:created>
  <dcterms:modified xsi:type="dcterms:W3CDTF">2020-10-23T06:29:00Z</dcterms:modified>
</cp:coreProperties>
</file>