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1DC6" w14:textId="697F915A" w:rsidR="00A926A9" w:rsidRPr="00F36755" w:rsidRDefault="00F36755" w:rsidP="00F36755">
      <w:pPr>
        <w:jc w:val="both"/>
        <w:rPr>
          <w:rFonts w:ascii="Times New Roman" w:hAnsi="Times New Roman" w:cs="Times New Roman"/>
          <w:sz w:val="32"/>
          <w:szCs w:val="32"/>
        </w:rPr>
      </w:pPr>
      <w:r w:rsidRPr="00F36755">
        <w:rPr>
          <w:rFonts w:ascii="Times New Roman" w:hAnsi="Times New Roman" w:cs="Times New Roman"/>
          <w:sz w:val="32"/>
          <w:szCs w:val="32"/>
        </w:rPr>
        <w:t xml:space="preserve">Лепельская </w:t>
      </w:r>
      <w:r>
        <w:rPr>
          <w:rFonts w:ascii="Times New Roman" w:hAnsi="Times New Roman" w:cs="Times New Roman"/>
          <w:sz w:val="32"/>
          <w:szCs w:val="32"/>
        </w:rPr>
        <w:t xml:space="preserve">межрайонная инспекция охраны животного и растительного мира напоминает, что с первой субботы ноября по последнее воскресенье января в светлое время суток осуществляется охота на зайца-беляка и зайца-русака. Разрешенные способы охоты ружейный с подхода, из засады, загоном. Разрешенные орудия охоты гладкоствольное охотничье оружие с использованием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патронов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снаряженных дробью, охотничьи собаки всех пород.</w:t>
      </w:r>
    </w:p>
    <w:sectPr w:rsidR="00A926A9" w:rsidRPr="00F3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A9"/>
    <w:rsid w:val="00A926A9"/>
    <w:rsid w:val="00F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FEE7"/>
  <w15:chartTrackingRefBased/>
  <w15:docId w15:val="{4C951525-E9A3-43AE-887D-BBA92BE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2020-10-23T06:16:00Z</dcterms:created>
  <dcterms:modified xsi:type="dcterms:W3CDTF">2020-10-23T06:23:00Z</dcterms:modified>
</cp:coreProperties>
</file>