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09" w:rsidRDefault="00E85A0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ЧАШНИКСКОГО РАЙОННОГО ИСПОЛНИТЕЛЬНОГО КОМИТЕТА</w:t>
      </w:r>
    </w:p>
    <w:p w:rsidR="00E85A09" w:rsidRDefault="00E85A09">
      <w:pPr>
        <w:pStyle w:val="newncpi"/>
        <w:ind w:firstLine="0"/>
        <w:jc w:val="center"/>
      </w:pPr>
      <w:r>
        <w:rPr>
          <w:rStyle w:val="datepr"/>
        </w:rPr>
        <w:t>15 марта 2024 г.</w:t>
      </w:r>
      <w:r>
        <w:rPr>
          <w:rStyle w:val="number"/>
        </w:rPr>
        <w:t xml:space="preserve"> № 221</w:t>
      </w:r>
    </w:p>
    <w:p w:rsidR="00E85A09" w:rsidRDefault="00E85A09">
      <w:pPr>
        <w:pStyle w:val="titlencpi"/>
      </w:pPr>
      <w:r>
        <w:t>Об установлении перечней</w:t>
      </w:r>
    </w:p>
    <w:p w:rsidR="00E85A09" w:rsidRDefault="00E85A09">
      <w:pPr>
        <w:pStyle w:val="preamble"/>
      </w:pPr>
      <w:r>
        <w:t>На основании абзацев второго и четвертого части первой пункта 4 статьи 12 Закона Республики Беларусь от 8 января 2014 г. № 128-З «О государственном регулировании торговли и общественного питания» Чашникский районный исполнительный комитет РЕШИЛ:</w:t>
      </w:r>
    </w:p>
    <w:p w:rsidR="00E85A09" w:rsidRDefault="00E85A09">
      <w:pPr>
        <w:pStyle w:val="point"/>
      </w:pPr>
      <w:r>
        <w:t>1. Установить:</w:t>
      </w:r>
    </w:p>
    <w:p w:rsidR="00E85A09" w:rsidRDefault="00E85A09">
      <w:pPr>
        <w:pStyle w:val="newncpi"/>
      </w:pPr>
      <w:r>
        <w:t>перечень требований к внешнему виду и размерам нестационарных и передвижных торговых объектов, нестационарных и передвижных объектов общественного питания согласно приложению 1;</w:t>
      </w:r>
    </w:p>
    <w:p w:rsidR="00E85A09" w:rsidRDefault="00E85A09">
      <w:pPr>
        <w:pStyle w:val="newncpi"/>
      </w:pPr>
      <w:r>
        <w:t>перечень требований к внешнему виду и размерам летних площадок (продолжений залов) согласно приложению 2.</w:t>
      </w:r>
    </w:p>
    <w:p w:rsidR="00E85A09" w:rsidRDefault="00E85A09">
      <w:pPr>
        <w:pStyle w:val="point"/>
      </w:pPr>
      <w:r>
        <w:t>2. Контроль за исполнением настоящего решения возложить на отдел архитектуры и строительства, жилищно-коммунального хозяйства Чашникского районного исполнительного комитета, Новолукомльский городской исполнительный комитет, сельские исполнительные комитеты.</w:t>
      </w:r>
    </w:p>
    <w:p w:rsidR="00E85A09" w:rsidRDefault="00E85A09">
      <w:pPr>
        <w:pStyle w:val="point"/>
      </w:pPr>
      <w:r>
        <w:t>3. Обнародовать (опубликовать) настоящее решение в газете «Чырвоны прамень».</w:t>
      </w:r>
    </w:p>
    <w:p w:rsidR="00E85A09" w:rsidRDefault="00E85A09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E85A09" w:rsidRDefault="00E85A0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E85A0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A09" w:rsidRDefault="00E85A0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85A09" w:rsidRDefault="00E85A09">
            <w:pPr>
              <w:pStyle w:val="newncpi0"/>
              <w:jc w:val="right"/>
            </w:pPr>
            <w:r>
              <w:rPr>
                <w:rStyle w:val="pers"/>
              </w:rPr>
              <w:t>А.П.Быков</w:t>
            </w:r>
          </w:p>
        </w:tc>
      </w:tr>
    </w:tbl>
    <w:p w:rsidR="00E85A09" w:rsidRDefault="00E85A0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E85A09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A09" w:rsidRDefault="00E85A0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A09" w:rsidRDefault="00E85A09">
            <w:pPr>
              <w:pStyle w:val="append1"/>
            </w:pPr>
            <w:r>
              <w:t>Приложение 1</w:t>
            </w:r>
          </w:p>
          <w:p w:rsidR="00E85A09" w:rsidRDefault="00E85A09">
            <w:pPr>
              <w:pStyle w:val="append"/>
            </w:pPr>
            <w:r>
              <w:t>к решению</w:t>
            </w:r>
            <w:r>
              <w:br/>
              <w:t>Чашникского районного</w:t>
            </w:r>
            <w:r>
              <w:br/>
              <w:t>исполнительного комитета</w:t>
            </w:r>
          </w:p>
          <w:p w:rsidR="00E85A09" w:rsidRDefault="00E85A09">
            <w:pPr>
              <w:pStyle w:val="append"/>
            </w:pPr>
            <w:r>
              <w:t>15.03.2024 № 221</w:t>
            </w:r>
          </w:p>
        </w:tc>
      </w:tr>
    </w:tbl>
    <w:p w:rsidR="00E85A09" w:rsidRDefault="00E85A09">
      <w:pPr>
        <w:pStyle w:val="titlep"/>
        <w:jc w:val="left"/>
      </w:pPr>
      <w:r>
        <w:t>ПЕРЕЧЕНЬ</w:t>
      </w:r>
      <w:r>
        <w:br/>
        <w:t>требований к внешнему виду и размерам нестационарных и передвижных торговых объектов, нестационарных и передвижных объектов общественного питания</w:t>
      </w:r>
    </w:p>
    <w:p w:rsidR="00E85A09" w:rsidRDefault="00E85A09">
      <w:pPr>
        <w:pStyle w:val="point"/>
      </w:pPr>
      <w:r>
        <w:t>1. Соответствие внешнего вида нестационарных и передвижных торговых объектов, нестационарных и передвижных объектов общественного питания (далее – нестационарные объекты) современным тенденциям архитектуры, дизайна, лаконичное дополнение архитектурно-художественного облика городской среды и среды сельских населенных пунктов, ландшафта.</w:t>
      </w:r>
    </w:p>
    <w:p w:rsidR="00E85A09" w:rsidRDefault="00E85A09">
      <w:pPr>
        <w:pStyle w:val="point"/>
      </w:pPr>
      <w:r>
        <w:t>2. Исключение влияния внешнего вида нестационарных объектов на изменение внешнего архитектурного облика сложившейся застройки, благоустройства и озеленения территории.</w:t>
      </w:r>
    </w:p>
    <w:p w:rsidR="00E85A09" w:rsidRDefault="00E85A09">
      <w:pPr>
        <w:pStyle w:val="point"/>
      </w:pPr>
      <w:r>
        <w:t>3. Обеспечение беспрепятственного движения пешеходов, велосипедистов, автомобильного транспорта.</w:t>
      </w:r>
    </w:p>
    <w:p w:rsidR="00E85A09" w:rsidRDefault="00E85A09">
      <w:pPr>
        <w:pStyle w:val="point"/>
      </w:pPr>
      <w:r>
        <w:t>4. Соответствие наружной рекламы, размещаемой на ограждающих конструкциях нестационарных объектов, торгово-технологическом оборудовании, требованиям законодательства о рекламе.</w:t>
      </w:r>
    </w:p>
    <w:p w:rsidR="00E85A09" w:rsidRDefault="00E85A09">
      <w:pPr>
        <w:pStyle w:val="point"/>
      </w:pPr>
      <w:r>
        <w:t>5. Использование в качестве ограждающих элементов конструкций нестационарных объектов материалов и оборудования, обеспечивающих безопасность при монтаже (демонтаже), а также на протяжении всего срока эксплуатации нестационарных объектов.</w:t>
      </w:r>
    </w:p>
    <w:p w:rsidR="00E85A09" w:rsidRDefault="00E85A09">
      <w:pPr>
        <w:pStyle w:val="point"/>
      </w:pPr>
      <w:r>
        <w:t>6. Использование в качестве материала каркаса нестационарных объектов металла, дерева (обработанного, окрашенного), композитных материалов и иных материалов, обеспечивающих надежность, эстетичный внешний вид конструкции.</w:t>
      </w:r>
    </w:p>
    <w:p w:rsidR="00E85A09" w:rsidRDefault="00E85A09">
      <w:pPr>
        <w:pStyle w:val="point"/>
      </w:pPr>
      <w:r>
        <w:t>7. Обеспечение доступного для маломобильных групп населения (в том числе физически ослабленных лиц) обслуживания, беспрепятственного доступа в нестационарные объекты.</w:t>
      </w:r>
    </w:p>
    <w:p w:rsidR="00E85A09" w:rsidRDefault="00E85A09">
      <w:pPr>
        <w:pStyle w:val="point"/>
      </w:pPr>
      <w:r>
        <w:t>8. Этажность нестационарных объектов – не более одного этажа.</w:t>
      </w:r>
    </w:p>
    <w:p w:rsidR="00E85A09" w:rsidRDefault="00E85A09">
      <w:pPr>
        <w:pStyle w:val="point"/>
      </w:pPr>
      <w:r>
        <w:t>9. Соответствие габаритных размеров нестационарных объектов архитектурно-градостроительному решению окружающей застройки, особенностям благоустройства территории, на которой планируется их размещение, а также условиям безопасности.</w:t>
      </w:r>
    </w:p>
    <w:p w:rsidR="00E85A09" w:rsidRDefault="00E85A09">
      <w:pPr>
        <w:pStyle w:val="point"/>
      </w:pPr>
      <w:r>
        <w:t>10. Исключение размещения нестационарных объектов с заглублением ограждающих конструкций, каркасов в основания, на которых устанавливаются нестационарные объекты.</w:t>
      </w:r>
    </w:p>
    <w:p w:rsidR="00E85A09" w:rsidRDefault="00E85A09">
      <w:pPr>
        <w:pStyle w:val="point"/>
      </w:pPr>
      <w:r>
        <w:t>11. Обеспечение (создание условий для) свободного подъезда пожарной аварийно-спасательной техники к зданиям и сооружениям для эвакуации людей и ликвидации последствий чрезвычайных ситуаций природного и техногенного характера.</w:t>
      </w:r>
    </w:p>
    <w:p w:rsidR="00E85A09" w:rsidRDefault="00E85A09">
      <w:pPr>
        <w:pStyle w:val="point"/>
      </w:pPr>
      <w:r>
        <w:t>12. При размещении нестационарных объектов не допускается:</w:t>
      </w:r>
    </w:p>
    <w:p w:rsidR="00E85A09" w:rsidRDefault="00E85A09">
      <w:pPr>
        <w:pStyle w:val="newncpi"/>
      </w:pPr>
      <w:r>
        <w:t>применение в наружной отделке ярких, раздражающих колеров, контрастных сочетаний, в том числе цветовой гаммы, используемой в качестве экстремистской символики и атрибутики;</w:t>
      </w:r>
    </w:p>
    <w:p w:rsidR="00E85A09" w:rsidRDefault="00E85A09">
      <w:pPr>
        <w:pStyle w:val="newncpi"/>
      </w:pPr>
      <w:r>
        <w:t>использование для облицовки ограждающих конструкций полиэтиленового пленочного покрытия, черепицы, металлочерепицы, рубероида, асбестоцементных листов, древесно-стружечных и ориентированно-стружечных плит;</w:t>
      </w:r>
    </w:p>
    <w:p w:rsidR="00E85A09" w:rsidRDefault="00E85A09">
      <w:pPr>
        <w:pStyle w:val="newncpi"/>
      </w:pPr>
      <w:r>
        <w:t>использование ритуальной атрибутики в декоративном оформлении;</w:t>
      </w:r>
    </w:p>
    <w:p w:rsidR="00E85A09" w:rsidRDefault="00E85A09">
      <w:pPr>
        <w:pStyle w:val="newncpi"/>
      </w:pPr>
      <w:r>
        <w:t>использование кирпича, строительных блоков и плит, монолитного бетона, железобетона.</w:t>
      </w:r>
    </w:p>
    <w:p w:rsidR="00E85A09" w:rsidRDefault="00E85A0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E85A09">
        <w:trPr>
          <w:cantSplit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A09" w:rsidRDefault="00E85A0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A09" w:rsidRDefault="00E85A09">
            <w:pPr>
              <w:pStyle w:val="append1"/>
            </w:pPr>
            <w:r>
              <w:t>Приложение 2</w:t>
            </w:r>
          </w:p>
          <w:p w:rsidR="00E85A09" w:rsidRDefault="00E85A09">
            <w:pPr>
              <w:pStyle w:val="append"/>
            </w:pPr>
            <w:r>
              <w:t>к решению</w:t>
            </w:r>
            <w:r>
              <w:br/>
              <w:t>Чашникского районного</w:t>
            </w:r>
            <w:r>
              <w:br/>
              <w:t>исполнительного комитета</w:t>
            </w:r>
          </w:p>
          <w:p w:rsidR="00E85A09" w:rsidRDefault="00E85A09">
            <w:pPr>
              <w:pStyle w:val="append"/>
            </w:pPr>
            <w:r>
              <w:t>15.03.2024 № 221</w:t>
            </w:r>
          </w:p>
        </w:tc>
      </w:tr>
    </w:tbl>
    <w:p w:rsidR="00E85A09" w:rsidRDefault="00E85A09">
      <w:pPr>
        <w:pStyle w:val="titlep"/>
        <w:jc w:val="left"/>
      </w:pPr>
      <w:r>
        <w:t>ПЕРЕЧЕНЬ</w:t>
      </w:r>
      <w:r>
        <w:br/>
        <w:t>требований к внешнему виду и размерам летних площадок (продолжений залов)</w:t>
      </w:r>
    </w:p>
    <w:p w:rsidR="00E85A09" w:rsidRDefault="00E85A09">
      <w:pPr>
        <w:pStyle w:val="point"/>
      </w:pPr>
      <w:r>
        <w:t>1. Использование в качестве ограждающих элементов конструкций летних площадок (продолжений залов) (далее – летние площадки) стоек, опор, покрытий, настилов, декоративных панелей ограждения.</w:t>
      </w:r>
    </w:p>
    <w:p w:rsidR="00E85A09" w:rsidRDefault="00E85A09">
      <w:pPr>
        <w:pStyle w:val="point"/>
      </w:pPr>
      <w:r>
        <w:t>2. Использование для элементов конструкций летних площадок материалов и оборудования, обеспечивающих безопасность при их монтаже (демонтаже), на протяжении всего срока эксплуатации летних площадок.</w:t>
      </w:r>
    </w:p>
    <w:p w:rsidR="00E85A09" w:rsidRDefault="00E85A09">
      <w:pPr>
        <w:pStyle w:val="point"/>
      </w:pPr>
      <w:r>
        <w:t>3. Использование в качестве материала легковозводимого каркаса летних площадок металла, дерева (обработанного, окрашенного), композитных материалов и иных материалов, обеспечивающих надежность, и эстетичный внешний вид конструкции летних площадок.</w:t>
      </w:r>
    </w:p>
    <w:p w:rsidR="00E85A09" w:rsidRDefault="00E85A09">
      <w:pPr>
        <w:pStyle w:val="point"/>
      </w:pPr>
      <w:r>
        <w:t>4. Ограничения высоты летних площадок и их составных элементов, высота которых не должна превышать высоту первого этажа (проекции на фасаде линии перекрытия между первым и вторым этажами) капитального строения, к которому примыкают летние площадки.</w:t>
      </w:r>
    </w:p>
    <w:p w:rsidR="00E85A09" w:rsidRDefault="00E85A09">
      <w:pPr>
        <w:pStyle w:val="point"/>
      </w:pPr>
      <w:r>
        <w:t>5. Использование в качестве элементов декоративного ограждения летних площадок сборно-разборных конструкций, зеленых насаждений в кадках, ящиках, кашпо.</w:t>
      </w:r>
    </w:p>
    <w:p w:rsidR="00E85A09" w:rsidRDefault="00E85A09">
      <w:pPr>
        <w:pStyle w:val="point"/>
      </w:pPr>
      <w:r>
        <w:t>6. Соответствие декоративного ограждения летних площадок в зависимости от материалов требованиям по высоте:</w:t>
      </w:r>
    </w:p>
    <w:p w:rsidR="00E85A09" w:rsidRDefault="00E85A09">
      <w:pPr>
        <w:pStyle w:val="newncpi"/>
      </w:pPr>
      <w:r>
        <w:t>не более 0,6 м от отметки пола (настила) либо покрытия тротуара (при отсутствии настила)* – в непрозрачном исполнении, в том числе с применением зеленых насаждений в кадках, ящиках, кашпо;</w:t>
      </w:r>
    </w:p>
    <w:p w:rsidR="00E85A09" w:rsidRDefault="00E85A09">
      <w:pPr>
        <w:pStyle w:val="newncpi"/>
      </w:pPr>
      <w:r>
        <w:t>не более 1,3 м от отметки пола (настила) либо покрытия тротуара (при отсутствии настила) – при исполнении в прозрачном материале (стекло, пластик, триплекс);</w:t>
      </w:r>
    </w:p>
    <w:p w:rsidR="00E85A09" w:rsidRDefault="00E85A09">
      <w:pPr>
        <w:pStyle w:val="newncpi"/>
      </w:pPr>
      <w:r>
        <w:t>общая высота декоративного ограждения с учетом конструкций настила не должна превышать 1,5 м от отметки земли (покрытия тротуара)**.</w:t>
      </w:r>
    </w:p>
    <w:p w:rsidR="00E85A09" w:rsidRDefault="00E85A09">
      <w:pPr>
        <w:pStyle w:val="snoskiline"/>
      </w:pPr>
      <w:r>
        <w:t>______________________________</w:t>
      </w:r>
    </w:p>
    <w:p w:rsidR="00E85A09" w:rsidRDefault="00E85A09">
      <w:pPr>
        <w:pStyle w:val="snoski"/>
      </w:pPr>
      <w:r>
        <w:t>* Размер указан без учета высоты растений, применяемых в декорировании ограждения летних площадок, элементов вертикального озеленения.</w:t>
      </w:r>
    </w:p>
    <w:p w:rsidR="00E85A09" w:rsidRDefault="00E85A09">
      <w:pPr>
        <w:pStyle w:val="snoski"/>
        <w:spacing w:after="240"/>
      </w:pPr>
      <w:r>
        <w:t>** Размер указан без учета высоты подиума при его наличии.</w:t>
      </w:r>
    </w:p>
    <w:p w:rsidR="00E85A09" w:rsidRDefault="00E85A09">
      <w:pPr>
        <w:pStyle w:val="point"/>
      </w:pPr>
      <w:r>
        <w:t>7. Обеспечение при устройстве настила декоративной зашивки торцов, исключающей возможность попадания в пространство между основанием, на котором планируется размещение летних площадок, и настилом посторонних предметов, животных.</w:t>
      </w:r>
    </w:p>
    <w:p w:rsidR="00E85A09" w:rsidRDefault="00E85A09">
      <w:pPr>
        <w:pStyle w:val="point"/>
      </w:pPr>
      <w:r>
        <w:t>8. Устройство подиума высотой более 20 см в случаях необходимости обеспечения одинаковой отметки пола летних площадок и стационарного объекта общественного питания (при наличии крыльца перед входом в помещение стационарного объекта общественного питания).</w:t>
      </w:r>
    </w:p>
    <w:p w:rsidR="00E85A09" w:rsidRDefault="00E85A09">
      <w:pPr>
        <w:pStyle w:val="point"/>
      </w:pPr>
      <w:r>
        <w:t>9. Соблюдение требований законодательства о наружной рекламе, размещаемой на ограждающих элементах конструкций летних площадок, зонтах, маркизах, декоративных ограждениях, торгово-технологическом оборудовании.</w:t>
      </w:r>
    </w:p>
    <w:p w:rsidR="00E85A09" w:rsidRDefault="00E85A09">
      <w:pPr>
        <w:pStyle w:val="point"/>
      </w:pPr>
      <w:r>
        <w:t>10. Гармоничное сочетание цветового и стилистического решения архитектурно-художественной стилистики и цветовой гаммы ограждающих элементов конструкций летних площадок, зонтов, маркиз, декоративных ограждений, торгово-технологического оборудования, дополнение архитектурно-художественного облика городской среды и среды сельских населенных пунктов.</w:t>
      </w:r>
    </w:p>
    <w:p w:rsidR="00E85A09" w:rsidRDefault="00E85A09">
      <w:pPr>
        <w:pStyle w:val="point"/>
      </w:pPr>
      <w:r>
        <w:t>11. Обеспечение беспрепятственного, доступного для маломобильных групп населения (в том числе физически ослабленных лиц) прохода в помещение объекта общественного питания, находящегося в капитальном строении, к которому примыкают летние площадки, при размещении торгово-технологического оборудования, а также при устройстве настила (подиума), устройстве пандусов, размещение специальных тактильных и сигнальных маркировок.</w:t>
      </w:r>
    </w:p>
    <w:p w:rsidR="00E85A09" w:rsidRDefault="00E85A09">
      <w:pPr>
        <w:pStyle w:val="point"/>
      </w:pPr>
      <w:r>
        <w:t>12. Соответствие габаритных размеров летних площадок архитектурно-градостроительному решению окружающей застройки, особенностям благоустройства территории, на которой планируется размещение летних площадок, а также условиям безопасности.</w:t>
      </w:r>
    </w:p>
    <w:p w:rsidR="00E85A09" w:rsidRDefault="00E85A09">
      <w:pPr>
        <w:pStyle w:val="point"/>
      </w:pPr>
      <w:r>
        <w:t>13. Размещение летних площадок на тротуаре производится с учетом необходимости обеспечения беспрепятственного прохода для пешеходов, ширина летней площадки не должна превышать 1/3 общей ширины тротуара при условии отсутствия на соответствующем участке тротуара малых архитектурных форм, опор наружного освещения, деревьев, других элементов благоустройства.</w:t>
      </w:r>
    </w:p>
    <w:p w:rsidR="00E85A09" w:rsidRDefault="00E85A09">
      <w:pPr>
        <w:pStyle w:val="point"/>
      </w:pPr>
      <w:r>
        <w:t>14. Свободная ширина прохода между крайними элементами летних площадок должна составлять:</w:t>
      </w:r>
    </w:p>
    <w:p w:rsidR="00E85A09" w:rsidRDefault="00E85A09">
      <w:pPr>
        <w:pStyle w:val="newncpi"/>
      </w:pPr>
      <w:r>
        <w:t>не менее 1,5 м до опор наружного освещения, деревьев, обрамляющих объекты растительного мира элементов (решеток, защитных каркасов), малых архитектурных форм, других элементов благоустройства;</w:t>
      </w:r>
    </w:p>
    <w:p w:rsidR="00E85A09" w:rsidRDefault="00E85A09">
      <w:pPr>
        <w:pStyle w:val="newncpi"/>
      </w:pPr>
      <w:r>
        <w:t>не менее 2,0 м до края проезжей части дороги при отсутствии газона между тротуаром и проезжей частью дороги.</w:t>
      </w:r>
    </w:p>
    <w:p w:rsidR="00E85A09" w:rsidRDefault="00E85A09">
      <w:pPr>
        <w:pStyle w:val="point"/>
      </w:pPr>
      <w:r>
        <w:t>15. При размещении летних площадок не допускается:</w:t>
      </w:r>
    </w:p>
    <w:p w:rsidR="00E85A09" w:rsidRDefault="00E85A09">
      <w:pPr>
        <w:pStyle w:val="newncpi"/>
      </w:pPr>
      <w:r>
        <w:t>нанесение ущерба фасадам зданий и сооружений, к которым примыкают летние площадки, мощению при ведении работ по монтажу (демонтажу), иными техническими решениями по обустройству ограждающих элементов конструкций летних площадок, а также использованием торгово-технологического оборудования;</w:t>
      </w:r>
    </w:p>
    <w:p w:rsidR="00E85A09" w:rsidRDefault="00E85A09">
      <w:pPr>
        <w:pStyle w:val="newncpi"/>
      </w:pPr>
      <w:r>
        <w:t>заполнение пространства летних площадок между элементами каркаса оконными и дверными блоками, бескаркасным остеклением, сплошными или фрагментарными зашивками металлическими и (или) сайдинг-панелями, иными материалами, изменяющими восприятие сложившейся и перспективной застройки (за исключением устройства декоративного ограждения);</w:t>
      </w:r>
    </w:p>
    <w:p w:rsidR="00E85A09" w:rsidRDefault="00E85A09">
      <w:pPr>
        <w:pStyle w:val="newncpi"/>
      </w:pPr>
      <w:r>
        <w:t>размещение элементов каркаса, ограждающих конструкций летних площадок таким образом, при котором они частично или полностью будут перекрывать собой оконные и (или) дверные проемы, витражи, адресные аншлаги капитальных строений, к которым примыкают летние площадки;</w:t>
      </w:r>
    </w:p>
    <w:p w:rsidR="00E85A09" w:rsidRDefault="00E85A09">
      <w:pPr>
        <w:pStyle w:val="newncpi"/>
      </w:pPr>
      <w:r>
        <w:t>использование для облицовки ограждающих конструкций летних площадок полиэтиленового пленочного покрытия, черепицы, металлочерепицы, металла, а также рубероида, асбестоцементных листов, древесно-стружечных и ориентированно-стружечных плит;</w:t>
      </w:r>
    </w:p>
    <w:p w:rsidR="00E85A09" w:rsidRDefault="00E85A09">
      <w:pPr>
        <w:pStyle w:val="newncpi"/>
      </w:pPr>
      <w:r>
        <w:t>устройство настилов на основание, на котором устанавливаются летние площадки, в том числе для необходимости выравнивания рельефа, высотой более 20 см, за исключением случаев устройства подиумов;</w:t>
      </w:r>
    </w:p>
    <w:p w:rsidR="00E85A09" w:rsidRDefault="00E85A09">
      <w:pPr>
        <w:pStyle w:val="newncpi"/>
      </w:pPr>
      <w:r>
        <w:t>заглубление ограждающих конструкций, каркаса, оборудования и ограждения в основание, на котором устраиваются летние площадки;</w:t>
      </w:r>
    </w:p>
    <w:p w:rsidR="00E85A09" w:rsidRDefault="00E85A09">
      <w:pPr>
        <w:pStyle w:val="newncpi"/>
      </w:pPr>
      <w:r>
        <w:t>использование ритуальной атрибутики в декоративном оформлении;</w:t>
      </w:r>
    </w:p>
    <w:p w:rsidR="00E85A09" w:rsidRDefault="00E85A09">
      <w:pPr>
        <w:pStyle w:val="newncpi"/>
      </w:pPr>
      <w:r>
        <w:t>использование кирпича, строительных блоков и плит, монолитного бетона, железобетона, стальных профилированных листов, баннерной ткани;</w:t>
      </w:r>
    </w:p>
    <w:p w:rsidR="00E85A09" w:rsidRDefault="00E85A09">
      <w:pPr>
        <w:pStyle w:val="newncpi"/>
      </w:pPr>
      <w:r>
        <w:t>использование закрытых тентовых павильонов;</w:t>
      </w:r>
    </w:p>
    <w:p w:rsidR="00E85A09" w:rsidRDefault="00E85A09">
      <w:pPr>
        <w:pStyle w:val="newncpi"/>
      </w:pPr>
      <w:r>
        <w:t>прокладка подземных инженерных коммуникаций и проведение строительно-монтажных работ капитального характера;</w:t>
      </w:r>
    </w:p>
    <w:p w:rsidR="00E85A09" w:rsidRDefault="00E85A09">
      <w:pPr>
        <w:pStyle w:val="newncpi"/>
      </w:pPr>
      <w:r>
        <w:t>ухудшение условий восприятия историко-культурных ценностей, в том числе создание препятствий для визуального восприятия их объемно-пространственных особенностей, элементов и деталей архитектурного декора;</w:t>
      </w:r>
    </w:p>
    <w:p w:rsidR="00E85A09" w:rsidRDefault="00E85A09">
      <w:pPr>
        <w:pStyle w:val="newncpi"/>
      </w:pPr>
      <w:r>
        <w:t>применение ярких, раздражающих колеров во внешнем облике летних площадок, контрастных сочетаний, в том числе цветовой гаммы, используемой в качестве экстремистской символики и атрибутики.</w:t>
      </w:r>
    </w:p>
    <w:p w:rsidR="00E85A09" w:rsidRDefault="00E85A09">
      <w:pPr>
        <w:pStyle w:val="newncpi"/>
      </w:pPr>
      <w:r>
        <w:t> </w:t>
      </w:r>
    </w:p>
    <w:p w:rsidR="003F2E10" w:rsidRDefault="003F2E10"/>
    <w:sectPr w:rsidR="003F2E10" w:rsidSect="00E85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09" w:rsidRDefault="00E85A09" w:rsidP="00E85A09">
      <w:pPr>
        <w:spacing w:after="0" w:line="240" w:lineRule="auto"/>
      </w:pPr>
      <w:r>
        <w:separator/>
      </w:r>
    </w:p>
  </w:endnote>
  <w:endnote w:type="continuationSeparator" w:id="0">
    <w:p w:rsidR="00E85A09" w:rsidRDefault="00E85A09" w:rsidP="00E8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09" w:rsidRDefault="00E85A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09" w:rsidRDefault="00E85A0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E85A09" w:rsidTr="00E85A09">
      <w:tc>
        <w:tcPr>
          <w:tcW w:w="1800" w:type="dxa"/>
          <w:shd w:val="clear" w:color="auto" w:fill="auto"/>
          <w:vAlign w:val="center"/>
        </w:tcPr>
        <w:p w:rsidR="00E85A09" w:rsidRDefault="00E85A0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85A09" w:rsidRDefault="00E85A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85A09" w:rsidRDefault="00E85A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16.04.2024</w:t>
          </w:r>
        </w:p>
        <w:p w:rsidR="00E85A09" w:rsidRPr="00E85A09" w:rsidRDefault="00E85A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85A09" w:rsidRDefault="00E85A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09" w:rsidRDefault="00E85A09" w:rsidP="00E85A09">
      <w:pPr>
        <w:spacing w:after="0" w:line="240" w:lineRule="auto"/>
      </w:pPr>
      <w:r>
        <w:separator/>
      </w:r>
    </w:p>
  </w:footnote>
  <w:footnote w:type="continuationSeparator" w:id="0">
    <w:p w:rsidR="00E85A09" w:rsidRDefault="00E85A09" w:rsidP="00E8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09" w:rsidRDefault="00E85A09" w:rsidP="001F43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5A09" w:rsidRDefault="00E85A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09" w:rsidRPr="00E85A09" w:rsidRDefault="00E85A09" w:rsidP="001F43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85A09">
      <w:rPr>
        <w:rStyle w:val="a7"/>
        <w:rFonts w:ascii="Times New Roman" w:hAnsi="Times New Roman" w:cs="Times New Roman"/>
        <w:sz w:val="24"/>
      </w:rPr>
      <w:fldChar w:fldCharType="begin"/>
    </w:r>
    <w:r w:rsidRPr="00E85A0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85A0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E85A09">
      <w:rPr>
        <w:rStyle w:val="a7"/>
        <w:rFonts w:ascii="Times New Roman" w:hAnsi="Times New Roman" w:cs="Times New Roman"/>
        <w:sz w:val="24"/>
      </w:rPr>
      <w:fldChar w:fldCharType="end"/>
    </w:r>
  </w:p>
  <w:p w:rsidR="00E85A09" w:rsidRPr="00E85A09" w:rsidRDefault="00E85A0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A09" w:rsidRDefault="00E85A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A09"/>
    <w:rsid w:val="003F2E10"/>
    <w:rsid w:val="00E8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85A0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E85A0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85A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5A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85A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85A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85A0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85A0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85A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5A0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5A0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5A0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5A0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5A0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85A0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5A0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8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A09"/>
  </w:style>
  <w:style w:type="paragraph" w:styleId="a5">
    <w:name w:val="footer"/>
    <w:basedOn w:val="a"/>
    <w:link w:val="a6"/>
    <w:uiPriority w:val="99"/>
    <w:semiHidden/>
    <w:unhideWhenUsed/>
    <w:rsid w:val="00E8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A09"/>
  </w:style>
  <w:style w:type="character" w:styleId="a7">
    <w:name w:val="page number"/>
    <w:basedOn w:val="a0"/>
    <w:uiPriority w:val="99"/>
    <w:semiHidden/>
    <w:unhideWhenUsed/>
    <w:rsid w:val="00E85A09"/>
  </w:style>
  <w:style w:type="table" w:styleId="a8">
    <w:name w:val="Table Grid"/>
    <w:basedOn w:val="a1"/>
    <w:uiPriority w:val="59"/>
    <w:rsid w:val="00E8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9524</Characters>
  <Application>Microsoft Office Word</Application>
  <DocSecurity>0</DocSecurity>
  <Lines>190</Lines>
  <Paragraphs>80</Paragraphs>
  <ScaleCrop>false</ScaleCrop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2024-04-16T15:13:00Z</dcterms:created>
  <dcterms:modified xsi:type="dcterms:W3CDTF">2024-04-16T15:14:00Z</dcterms:modified>
</cp:coreProperties>
</file>