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A7" w:rsidRPr="00601DA7" w:rsidRDefault="003078C3" w:rsidP="00601DA7">
      <w:pPr>
        <w:spacing w:after="0" w:line="240" w:lineRule="auto"/>
        <w:jc w:val="both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Размер с</w:t>
      </w:r>
      <w:r w:rsidR="00601DA7" w:rsidRPr="00601DA7">
        <w:rPr>
          <w:rFonts w:ascii="Times New Roman" w:eastAsia="Calibri" w:hAnsi="Times New Roman"/>
          <w:b/>
          <w:sz w:val="36"/>
          <w:szCs w:val="36"/>
        </w:rPr>
        <w:t>емейн</w:t>
      </w:r>
      <w:r>
        <w:rPr>
          <w:rFonts w:ascii="Times New Roman" w:eastAsia="Calibri" w:hAnsi="Times New Roman"/>
          <w:b/>
          <w:sz w:val="36"/>
          <w:szCs w:val="36"/>
        </w:rPr>
        <w:t>ого</w:t>
      </w:r>
      <w:r w:rsidR="00601DA7" w:rsidRPr="00601DA7">
        <w:rPr>
          <w:rFonts w:ascii="Times New Roman" w:eastAsia="Calibri" w:hAnsi="Times New Roman"/>
          <w:b/>
          <w:sz w:val="36"/>
          <w:szCs w:val="36"/>
        </w:rPr>
        <w:t xml:space="preserve"> капитал</w:t>
      </w:r>
      <w:r>
        <w:rPr>
          <w:rFonts w:ascii="Times New Roman" w:eastAsia="Calibri" w:hAnsi="Times New Roman"/>
          <w:b/>
          <w:sz w:val="36"/>
          <w:szCs w:val="36"/>
        </w:rPr>
        <w:t>а</w:t>
      </w:r>
      <w:r w:rsidR="00601DA7" w:rsidRPr="00601DA7">
        <w:rPr>
          <w:rFonts w:ascii="Times New Roman" w:eastAsia="Calibri" w:hAnsi="Times New Roman"/>
          <w:b/>
          <w:sz w:val="36"/>
          <w:szCs w:val="36"/>
        </w:rPr>
        <w:t>.</w:t>
      </w: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9F6EB6">
        <w:rPr>
          <w:rFonts w:ascii="Times New Roman" w:eastAsia="Calibri" w:hAnsi="Times New Roman"/>
          <w:sz w:val="24"/>
          <w:szCs w:val="24"/>
        </w:rPr>
        <w:t xml:space="preserve">С 1 января 2015 г. </w:t>
      </w:r>
      <w:r w:rsidRPr="009F6EB6">
        <w:rPr>
          <w:rFonts w:ascii="Times New Roman" w:hAnsi="Times New Roman"/>
          <w:sz w:val="24"/>
          <w:szCs w:val="24"/>
        </w:rPr>
        <w:t xml:space="preserve">по 31 декабря 2029 г. </w:t>
      </w:r>
      <w:r w:rsidRPr="009F6EB6">
        <w:rPr>
          <w:rFonts w:ascii="Times New Roman" w:eastAsia="Calibri" w:hAnsi="Times New Roman"/>
          <w:sz w:val="24"/>
          <w:szCs w:val="24"/>
        </w:rPr>
        <w:t xml:space="preserve">установлена дополнительная мера государственной поддержки многодетных семей – </w:t>
      </w:r>
      <w:r w:rsidRPr="009F6EB6">
        <w:rPr>
          <w:rFonts w:ascii="Times New Roman" w:eastAsia="Calibri" w:hAnsi="Times New Roman"/>
          <w:b/>
          <w:sz w:val="24"/>
          <w:szCs w:val="24"/>
        </w:rPr>
        <w:t xml:space="preserve">единовременное предоставление семьям безналичных денежных средств </w:t>
      </w:r>
      <w:r w:rsidRPr="009F6EB6">
        <w:rPr>
          <w:rFonts w:ascii="Times New Roman" w:eastAsia="Calibri" w:hAnsi="Times New Roman"/>
          <w:sz w:val="24"/>
          <w:szCs w:val="24"/>
        </w:rPr>
        <w:t>(семейный капитал)</w:t>
      </w:r>
      <w:r w:rsidRPr="009F6EB6">
        <w:rPr>
          <w:rFonts w:ascii="Times New Roman" w:eastAsia="Calibri" w:hAnsi="Times New Roman"/>
          <w:b/>
          <w:sz w:val="24"/>
          <w:szCs w:val="24"/>
        </w:rPr>
        <w:t xml:space="preserve"> при рождении, усыновлении третьего или последующих детей.</w:t>
      </w: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Размер семейного капитала при рождении, усыновлении третьего или последующих детей в период:</w:t>
      </w: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с 1 января 2015 г. по 31 декабря 2019 г. – 10 000 долларов США;</w:t>
      </w: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EB6">
        <w:rPr>
          <w:rFonts w:ascii="Times New Roman" w:hAnsi="Times New Roman"/>
          <w:sz w:val="24"/>
          <w:szCs w:val="24"/>
        </w:rPr>
        <w:t>с 1 января 2020 г. по 31 декабря 2020 г. – 22 500 белорусских рублей;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2021 г. по 31 декабря 2021 г. – 23 737,5 рубля;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2022 г. по 31 декабря 2022 г. – 25 995 рублей;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2023 г. по 31 декабря 2023 г. – 29 950 рублей;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2024 г. по 31 декабря 2024 г. – 31 480 рублей;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2025 г. по 31 декабря 2025 г. – 33 275 рублей;</w:t>
      </w:r>
    </w:p>
    <w:p w:rsidR="00601DA7" w:rsidRPr="009F6EB6" w:rsidRDefault="00601DA7" w:rsidP="00601DA7">
      <w:pPr>
        <w:pStyle w:val="newncpi"/>
        <w:ind w:firstLine="709"/>
      </w:pPr>
      <w:r w:rsidRPr="009F6EB6">
        <w:t>с 1 января 2026 г. по 31 декабря 2026 г. – 35 505 рублей;</w:t>
      </w:r>
    </w:p>
    <w:p w:rsidR="00601DA7" w:rsidRPr="009F6EB6" w:rsidRDefault="00601DA7" w:rsidP="00601DA7">
      <w:pPr>
        <w:pStyle w:val="newncpi"/>
        <w:ind w:firstLine="709"/>
      </w:pPr>
    </w:p>
    <w:p w:rsidR="00601DA7" w:rsidRPr="009F6EB6" w:rsidRDefault="00601DA7" w:rsidP="00601DA7">
      <w:pPr>
        <w:pStyle w:val="newncpi"/>
        <w:ind w:firstLine="709"/>
        <w:rPr>
          <w:b/>
          <w:i/>
        </w:rPr>
      </w:pPr>
      <w:r w:rsidRPr="009F6EB6">
        <w:rPr>
          <w:b/>
          <w:i/>
        </w:rPr>
        <w:t>Справочно.</w:t>
      </w:r>
    </w:p>
    <w:p w:rsidR="00601DA7" w:rsidRPr="009F6EB6" w:rsidRDefault="00601DA7" w:rsidP="00601DA7">
      <w:pPr>
        <w:pStyle w:val="newncpi"/>
        <w:ind w:firstLine="709"/>
        <w:rPr>
          <w:i/>
        </w:rPr>
      </w:pPr>
      <w:r w:rsidRPr="009F6EB6">
        <w:rPr>
          <w:i/>
        </w:rPr>
        <w:t xml:space="preserve">Начиная с 1 января 2021 г. в целях сохранения покупательной способности размер семейного капитала индексируется нарастающим итогом на величину индекса потребительских цен за предыдущий год, рассчитываемого Национальным статистическим комитетом. </w:t>
      </w:r>
    </w:p>
    <w:p w:rsidR="00601DA7" w:rsidRPr="009F6EB6" w:rsidRDefault="00601DA7" w:rsidP="00601DA7">
      <w:pPr>
        <w:pStyle w:val="newncpi"/>
        <w:ind w:firstLine="709"/>
        <w:rPr>
          <w:i/>
        </w:rPr>
      </w:pPr>
      <w:r w:rsidRPr="009F6EB6">
        <w:rPr>
          <w:i/>
        </w:rPr>
        <w:t>Новый размер семейного капитала действует в течение календарного года (с 1 января по 31 декабря) и размещается Министерством труда и социальной защиты на официальном сайте не позднее 31 января текущего года.</w:t>
      </w:r>
    </w:p>
    <w:p w:rsidR="00601DA7" w:rsidRPr="009F6EB6" w:rsidRDefault="00601DA7" w:rsidP="00601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01DA7" w:rsidRPr="009F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B6"/>
    <w:rsid w:val="003078C3"/>
    <w:rsid w:val="004C35B6"/>
    <w:rsid w:val="00601DA7"/>
    <w:rsid w:val="00E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A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01DA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601DA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A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01DA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601DA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chashniki-ru125</dc:creator>
  <cp:keywords/>
  <dc:description/>
  <cp:lastModifiedBy>chashniki-ru125</cp:lastModifiedBy>
  <cp:revision>3</cp:revision>
  <dcterms:created xsi:type="dcterms:W3CDTF">2026-06-04T12:42:00Z</dcterms:created>
  <dcterms:modified xsi:type="dcterms:W3CDTF">2026-06-04T12:44:00Z</dcterms:modified>
</cp:coreProperties>
</file>