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00" w:rsidRDefault="002F4EE3">
      <w:pPr>
        <w:pStyle w:val="newncpi0"/>
        <w:jc w:val="center"/>
      </w:pPr>
      <w:r>
        <w:rPr>
          <w:rStyle w:val="name"/>
        </w:rPr>
        <w:t xml:space="preserve">               </w:t>
      </w:r>
      <w:r w:rsidR="00E44800">
        <w:rPr>
          <w:rStyle w:val="name"/>
        </w:rPr>
        <w:t>УКАЗ </w:t>
      </w:r>
      <w:r w:rsidR="00E44800">
        <w:rPr>
          <w:rStyle w:val="promulgator"/>
        </w:rPr>
        <w:t>ПРЕЗИДЕНТА РЕСПУБЛИКИ БЕЛАРУСЬ</w:t>
      </w:r>
    </w:p>
    <w:p w:rsidR="00E44800" w:rsidRDefault="00E44800">
      <w:pPr>
        <w:pStyle w:val="newncpi"/>
        <w:ind w:firstLine="0"/>
        <w:jc w:val="center"/>
      </w:pPr>
      <w:r>
        <w:rPr>
          <w:rStyle w:val="datepr"/>
        </w:rPr>
        <w:t>31 января 2025 г.</w:t>
      </w:r>
      <w:r>
        <w:rPr>
          <w:rStyle w:val="number"/>
        </w:rPr>
        <w:t xml:space="preserve"> № 46</w:t>
      </w:r>
    </w:p>
    <w:p w:rsidR="00E44800" w:rsidRDefault="00E44800">
      <w:pPr>
        <w:pStyle w:val="titlencpi"/>
      </w:pPr>
      <w:r>
        <w:t>Об особенностях строительства и приемки объектов в эксплуатацию</w:t>
      </w:r>
    </w:p>
    <w:p w:rsidR="00E44800" w:rsidRPr="006441C7" w:rsidRDefault="00E44800">
      <w:pPr>
        <w:pStyle w:val="newncpi"/>
      </w:pPr>
      <w:r w:rsidRPr="006441C7">
        <w:t>В целях совершенствования порядка осуществления архитектурной и строительной деятельности:</w:t>
      </w:r>
    </w:p>
    <w:p w:rsidR="00E44800" w:rsidRPr="006441C7" w:rsidRDefault="00E44800">
      <w:pPr>
        <w:pStyle w:val="point"/>
      </w:pPr>
      <w:r w:rsidRPr="006441C7">
        <w:t>1. Установить, что:</w:t>
      </w:r>
    </w:p>
    <w:p w:rsidR="00E44800" w:rsidRPr="006441C7" w:rsidRDefault="00E44800">
      <w:pPr>
        <w:pStyle w:val="underpoint"/>
      </w:pPr>
      <w:r w:rsidRPr="006441C7">
        <w:t>1.1. по решению заказчика (застройщика) объекты строительства, относимые к четвертому и пятому классам сложности (далее – объекты), принимаются в эксплуатацию на основании заключений органов государственного строительного надзора об их соответствии критериям, определенным в части второй настоящего подпункта, если объекты:</w:t>
      </w:r>
    </w:p>
    <w:p w:rsidR="00E44800" w:rsidRPr="006441C7" w:rsidRDefault="00E44800">
      <w:pPr>
        <w:pStyle w:val="newncpi"/>
      </w:pPr>
      <w:r w:rsidRPr="006441C7">
        <w:t>возведены с использованием проектной документации, разработанной методом привязки проектов, рекомендованных для повторного применения, к месту размещения объекта;</w:t>
      </w:r>
    </w:p>
    <w:p w:rsidR="00E44800" w:rsidRPr="006441C7" w:rsidRDefault="00E44800">
      <w:pPr>
        <w:pStyle w:val="newncpi"/>
      </w:pPr>
      <w:r w:rsidRPr="006441C7">
        <w:t xml:space="preserve">закончены строительством в соответствии с проектной документацией, прошедшей государственную строительную экспертизу (далее – </w:t>
      </w:r>
      <w:proofErr w:type="spellStart"/>
      <w:r w:rsidRPr="006441C7">
        <w:t>госстройэкспертиза</w:t>
      </w:r>
      <w:proofErr w:type="spellEnd"/>
      <w:r w:rsidRPr="006441C7">
        <w:t xml:space="preserve">) по стадии «Строительный проект», в которую после прохождения </w:t>
      </w:r>
      <w:proofErr w:type="spellStart"/>
      <w:r w:rsidRPr="006441C7">
        <w:t>госстройэкспертизы</w:t>
      </w:r>
      <w:proofErr w:type="spellEnd"/>
      <w:r w:rsidRPr="006441C7">
        <w:t xml:space="preserve"> изменения не вносились либо по которой после внесения в нее изменений повторно получено заключение </w:t>
      </w:r>
      <w:proofErr w:type="spellStart"/>
      <w:r w:rsidRPr="006441C7">
        <w:t>госстройэкспертизы</w:t>
      </w:r>
      <w:proofErr w:type="spellEnd"/>
      <w:r w:rsidRPr="006441C7">
        <w:t>.</w:t>
      </w:r>
    </w:p>
    <w:p w:rsidR="00E44800" w:rsidRPr="006441C7" w:rsidRDefault="00E44800">
      <w:pPr>
        <w:pStyle w:val="newncpi"/>
      </w:pPr>
      <w:r w:rsidRPr="006441C7">
        <w:t>При выдаче заключения органов государственного строительного надзора объект оценивается по следующим критериям:</w:t>
      </w:r>
    </w:p>
    <w:p w:rsidR="00E44800" w:rsidRPr="006441C7" w:rsidRDefault="00E44800">
      <w:pPr>
        <w:pStyle w:val="newncpi"/>
      </w:pPr>
      <w:r w:rsidRPr="006441C7">
        <w:t>соответствие проектной документации;</w:t>
      </w:r>
    </w:p>
    <w:p w:rsidR="00E44800" w:rsidRPr="006441C7" w:rsidRDefault="00E44800">
      <w:pPr>
        <w:pStyle w:val="newncpi"/>
      </w:pPr>
      <w:r w:rsidRPr="006441C7">
        <w:t>готовность инженерной инфраструктуры обеспечивать подачу, учет и отведение ресурсов в объемах, предусмотренных проектной документацией.</w:t>
      </w:r>
    </w:p>
    <w:p w:rsidR="00E44800" w:rsidRPr="006441C7" w:rsidRDefault="00E44800">
      <w:pPr>
        <w:pStyle w:val="newncpi"/>
      </w:pPr>
      <w:r w:rsidRPr="006441C7">
        <w:t xml:space="preserve">Для получения </w:t>
      </w:r>
      <w:proofErr w:type="gramStart"/>
      <w:r w:rsidRPr="006441C7">
        <w:t>заключения органов государственного строительного надзора наличия заключений</w:t>
      </w:r>
      <w:proofErr w:type="gramEnd"/>
      <w:r w:rsidRPr="006441C7">
        <w:t xml:space="preserve"> по объекту других органов государственного надзора не требуется;</w:t>
      </w:r>
    </w:p>
    <w:p w:rsidR="00E44800" w:rsidRPr="006441C7" w:rsidRDefault="00E44800">
      <w:pPr>
        <w:pStyle w:val="underpoint"/>
      </w:pPr>
      <w:r w:rsidRPr="00ED6E90">
        <w:t>1.2. строительство объектов* на предоставленном земельном участке в пределах разрешенных инженерных нагрузок по решению заказчика (застройщика) допускается осуществлять на основании совокупности следующих документов:</w:t>
      </w:r>
    </w:p>
    <w:p w:rsidR="00E44800" w:rsidRPr="006441C7" w:rsidRDefault="00E44800">
      <w:pPr>
        <w:pStyle w:val="newncpi"/>
      </w:pPr>
      <w:r w:rsidRPr="006441C7">
        <w:t>чертежей, состав и объем которых определяются заказчиком (застройщиком);</w:t>
      </w:r>
    </w:p>
    <w:p w:rsidR="00E44800" w:rsidRPr="006441C7" w:rsidRDefault="00E44800">
      <w:pPr>
        <w:pStyle w:val="newncpi"/>
      </w:pPr>
      <w:r w:rsidRPr="006441C7">
        <w:t>эскизного проекта, согласованного руководителем структурного подразделения местного исполнительного и распорядительного органа базового территориального уровня, осуществляющего государс</w:t>
      </w:r>
      <w:bookmarkStart w:id="0" w:name="_GoBack"/>
      <w:bookmarkEnd w:id="0"/>
      <w:r w:rsidRPr="006441C7">
        <w:t>твенно-властные полномочия в области архитектурной, градостроительной и строительной деятельности на территории административно-территориальной единицы, включая территории районов в городе.</w:t>
      </w:r>
    </w:p>
    <w:p w:rsidR="00E44800" w:rsidRPr="006441C7" w:rsidRDefault="00E44800">
      <w:pPr>
        <w:pStyle w:val="newncpi"/>
      </w:pPr>
      <w:r w:rsidRPr="006441C7">
        <w:t>При строительстве объектов не являются обязательными:</w:t>
      </w:r>
    </w:p>
    <w:p w:rsidR="00E44800" w:rsidRPr="006441C7" w:rsidRDefault="00E44800">
      <w:pPr>
        <w:pStyle w:val="newncpi"/>
      </w:pPr>
      <w:r w:rsidRPr="006441C7">
        <w:t xml:space="preserve">разработка </w:t>
      </w:r>
      <w:proofErr w:type="spellStart"/>
      <w:r w:rsidRPr="006441C7">
        <w:t>предпроектной</w:t>
      </w:r>
      <w:proofErr w:type="spellEnd"/>
      <w:r w:rsidRPr="006441C7">
        <w:t xml:space="preserve"> (</w:t>
      </w:r>
      <w:proofErr w:type="spellStart"/>
      <w:r w:rsidRPr="006441C7">
        <w:t>предынвестиционной</w:t>
      </w:r>
      <w:proofErr w:type="spellEnd"/>
      <w:r w:rsidRPr="006441C7">
        <w:t>), проектной документации;</w:t>
      </w:r>
    </w:p>
    <w:p w:rsidR="00E44800" w:rsidRPr="006441C7" w:rsidRDefault="00E44800">
      <w:pPr>
        <w:pStyle w:val="newncpi"/>
      </w:pPr>
      <w:r w:rsidRPr="006441C7">
        <w:t>получение разрешительной документации на строительство, сбор исходных данных;</w:t>
      </w:r>
    </w:p>
    <w:p w:rsidR="00E44800" w:rsidRPr="006441C7" w:rsidRDefault="00E44800">
      <w:pPr>
        <w:pStyle w:val="newncpi"/>
      </w:pPr>
      <w:r w:rsidRPr="006441C7">
        <w:t>прохождение предусмотренных законодательством экспертиз проектной документации (при ее наличии).</w:t>
      </w:r>
    </w:p>
    <w:p w:rsidR="00E44800" w:rsidRPr="006441C7" w:rsidRDefault="00E44800">
      <w:pPr>
        <w:pStyle w:val="newncpi"/>
      </w:pPr>
      <w:r w:rsidRPr="006441C7">
        <w:t>Надзор в области архитектурной, градостроительной и строительной деятельности, за исключением государственного строительного надзора, при строительстве объектов не осуществляется.</w:t>
      </w:r>
    </w:p>
    <w:p w:rsidR="00E44800" w:rsidRPr="006441C7" w:rsidRDefault="00E44800">
      <w:pPr>
        <w:pStyle w:val="newncpi"/>
      </w:pPr>
      <w:r w:rsidRPr="006441C7">
        <w:t>Законченный строительством объект не является самовольной постройкой.</w:t>
      </w:r>
    </w:p>
    <w:p w:rsidR="00E44800" w:rsidRPr="006441C7" w:rsidRDefault="00E44800">
      <w:pPr>
        <w:pStyle w:val="newncpi"/>
      </w:pPr>
      <w:r w:rsidRPr="006441C7">
        <w:t>Приемка в эксплуатацию объектов осуществляется в порядке, предусмотренном законодательством в области архитектурной, градостроительной и строительной деятельности, с учетом особенностей, установленных в приложении.</w:t>
      </w:r>
    </w:p>
    <w:p w:rsidR="00E44800" w:rsidRPr="006441C7" w:rsidRDefault="00E44800">
      <w:pPr>
        <w:pStyle w:val="snoskiline"/>
      </w:pPr>
      <w:r w:rsidRPr="006441C7">
        <w:t>______________________________</w:t>
      </w:r>
    </w:p>
    <w:p w:rsidR="00E44800" w:rsidRPr="006441C7" w:rsidRDefault="00E44800">
      <w:pPr>
        <w:pStyle w:val="snoski"/>
        <w:spacing w:after="240"/>
      </w:pPr>
      <w:proofErr w:type="gramStart"/>
      <w:r w:rsidRPr="006441C7">
        <w:t xml:space="preserve">* За исключением объектов, финансирование которых осуществляется физическими лицами, объектов, подлежащих сносу, консервации, многоквартирных, одноквартирных жилых домов, квартир </w:t>
      </w:r>
      <w:r w:rsidRPr="006441C7">
        <w:lastRenderedPageBreak/>
        <w:t>в блокированных жилых домах, нежилых капитальных построек пятого класса сложности на придомовой территории, садовых домиков, хозяйственных строений и сооружений на земельных участках, предоставленных для коллективного садоводства, хозяйственных строений и сооружений на земельных участках, предоставленных для ведения личного подсобного хозяйства, ветроэнергетических и гелиоэнергетических установок</w:t>
      </w:r>
      <w:proofErr w:type="gramEnd"/>
      <w:r w:rsidRPr="006441C7">
        <w:t>, объектов, для которых проводится оценка воздействия на окружающую среду, а также недвижимых материальных историко-культурных ценностей.</w:t>
      </w:r>
    </w:p>
    <w:p w:rsidR="00E44800" w:rsidRPr="006441C7" w:rsidRDefault="00E44800">
      <w:pPr>
        <w:pStyle w:val="point"/>
      </w:pPr>
      <w:r w:rsidRPr="006441C7">
        <w:t>2. Совету Министров Республики Беларусь в трехмесячный срок:</w:t>
      </w:r>
    </w:p>
    <w:p w:rsidR="00E44800" w:rsidRPr="006441C7" w:rsidRDefault="00E44800">
      <w:pPr>
        <w:pStyle w:val="newncpi"/>
      </w:pPr>
      <w:r w:rsidRPr="006441C7">
        <w:t>установить состав и порядок согласования эскизного проекта;</w:t>
      </w:r>
    </w:p>
    <w:p w:rsidR="00E44800" w:rsidRPr="006441C7" w:rsidRDefault="00E44800">
      <w:pPr>
        <w:pStyle w:val="newncpi"/>
      </w:pPr>
      <w:r w:rsidRPr="006441C7">
        <w:t>принять иные меры по реализации настоящего Указа.</w:t>
      </w:r>
    </w:p>
    <w:p w:rsidR="00E44800" w:rsidRPr="006441C7" w:rsidRDefault="00E44800">
      <w:pPr>
        <w:pStyle w:val="point"/>
      </w:pPr>
      <w:r w:rsidRPr="006441C7">
        <w:t>3. Предоставить Министерству архитектуры и строительства право разъяснять вопросы применения настоящего Указа.</w:t>
      </w:r>
    </w:p>
    <w:p w:rsidR="00E44800" w:rsidRPr="006441C7" w:rsidRDefault="00E44800">
      <w:pPr>
        <w:pStyle w:val="point"/>
      </w:pPr>
      <w:r w:rsidRPr="006441C7">
        <w:t>4. Настоящий Указ вступает в силу в следующем порядке:</w:t>
      </w:r>
    </w:p>
    <w:p w:rsidR="00E44800" w:rsidRPr="006441C7" w:rsidRDefault="00E44800">
      <w:pPr>
        <w:pStyle w:val="newncpi"/>
      </w:pPr>
      <w:r w:rsidRPr="006441C7">
        <w:t>подпункт 1.2 пункта 1 и приложение – через три месяца после официального опубликования данного Указа;</w:t>
      </w:r>
    </w:p>
    <w:p w:rsidR="00E44800" w:rsidRPr="006441C7" w:rsidRDefault="00E44800">
      <w:pPr>
        <w:pStyle w:val="newncpi"/>
      </w:pPr>
      <w:r w:rsidRPr="006441C7">
        <w:t>иные положения настоящего Указа – после его официального опубликования.</w:t>
      </w:r>
    </w:p>
    <w:p w:rsidR="00E44800" w:rsidRPr="006441C7" w:rsidRDefault="00E44800">
      <w:pPr>
        <w:pStyle w:val="newncpi"/>
      </w:pPr>
      <w:r w:rsidRPr="006441C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44800" w:rsidRPr="006441C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4800" w:rsidRPr="006441C7" w:rsidRDefault="00E44800">
            <w:pPr>
              <w:pStyle w:val="newncpi0"/>
              <w:jc w:val="left"/>
            </w:pPr>
            <w:r w:rsidRPr="006441C7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4800" w:rsidRPr="006441C7" w:rsidRDefault="00E44800">
            <w:pPr>
              <w:pStyle w:val="newncpi0"/>
              <w:jc w:val="right"/>
            </w:pPr>
            <w:r w:rsidRPr="006441C7">
              <w:rPr>
                <w:rStyle w:val="pers"/>
              </w:rPr>
              <w:t>А.Лукашенко</w:t>
            </w:r>
          </w:p>
        </w:tc>
      </w:tr>
    </w:tbl>
    <w:p w:rsidR="00E44800" w:rsidRPr="006441C7" w:rsidRDefault="00E44800">
      <w:pPr>
        <w:pStyle w:val="newncpi0"/>
      </w:pPr>
      <w:r w:rsidRPr="006441C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44800" w:rsidRPr="006441C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4800" w:rsidRPr="006441C7" w:rsidRDefault="00E44800">
            <w:pPr>
              <w:pStyle w:val="newncpi"/>
              <w:ind w:firstLine="0"/>
            </w:pPr>
            <w:r w:rsidRPr="006441C7"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4800" w:rsidRPr="006441C7" w:rsidRDefault="00E44800">
            <w:pPr>
              <w:pStyle w:val="append1"/>
            </w:pPr>
            <w:r w:rsidRPr="006441C7">
              <w:t>Приложение</w:t>
            </w:r>
          </w:p>
          <w:p w:rsidR="00E44800" w:rsidRPr="006441C7" w:rsidRDefault="00E44800">
            <w:pPr>
              <w:pStyle w:val="append"/>
            </w:pPr>
            <w:r w:rsidRPr="006441C7">
              <w:t>к Указу Президента</w:t>
            </w:r>
            <w:r w:rsidRPr="006441C7">
              <w:br/>
              <w:t>Республики Беларусь</w:t>
            </w:r>
          </w:p>
          <w:p w:rsidR="00E44800" w:rsidRPr="006441C7" w:rsidRDefault="00E44800">
            <w:pPr>
              <w:pStyle w:val="append"/>
            </w:pPr>
            <w:r w:rsidRPr="006441C7">
              <w:t>31.01.2025 № 46</w:t>
            </w:r>
          </w:p>
        </w:tc>
      </w:tr>
    </w:tbl>
    <w:p w:rsidR="00E44800" w:rsidRPr="006441C7" w:rsidRDefault="00E44800">
      <w:pPr>
        <w:pStyle w:val="titlep"/>
        <w:jc w:val="left"/>
      </w:pPr>
      <w:r w:rsidRPr="006441C7">
        <w:t>ОСОБЕННОСТИ</w:t>
      </w:r>
      <w:r w:rsidRPr="006441C7">
        <w:br/>
        <w:t>приемки в эксплуатацию объектов</w:t>
      </w:r>
    </w:p>
    <w:p w:rsidR="00E44800" w:rsidRPr="006441C7" w:rsidRDefault="00E44800">
      <w:pPr>
        <w:pStyle w:val="point"/>
      </w:pPr>
      <w:r w:rsidRPr="006441C7">
        <w:t>1. Приемка в эксплуатацию объекта без полного завершения строительно-монтажных работ, в том числе по встроенным и пристроенным помещениям, очередей строительства, пусковых комплексов в составе объекта и перенос отдельных видов работ на благоприятный период года не допускаются.</w:t>
      </w:r>
    </w:p>
    <w:p w:rsidR="00E44800" w:rsidRPr="006441C7" w:rsidRDefault="00E44800">
      <w:pPr>
        <w:pStyle w:val="point"/>
      </w:pPr>
      <w:r w:rsidRPr="006441C7">
        <w:t>2. Объекты производственной инфраструктуры допускаются к приемке в эксплуатацию только после подтверждения рабочей комиссией по приемке оборудования готовности смонтированного оборудования к эксплуатации, выпуску продукции (выполнению работ, оказанию услуг) в соответствии с чертежами (монтажными схемами).</w:t>
      </w:r>
    </w:p>
    <w:p w:rsidR="00E44800" w:rsidRPr="006441C7" w:rsidRDefault="00E44800">
      <w:pPr>
        <w:pStyle w:val="point"/>
      </w:pPr>
      <w:r w:rsidRPr="006441C7">
        <w:t>3. В состав приемочных комиссий при приемке в эксплуатацию объектов включаются представители:</w:t>
      </w:r>
    </w:p>
    <w:p w:rsidR="00E44800" w:rsidRPr="006441C7" w:rsidRDefault="00E44800">
      <w:pPr>
        <w:pStyle w:val="newncpi"/>
      </w:pPr>
      <w:r w:rsidRPr="006441C7">
        <w:t>заказчика (застройщика);</w:t>
      </w:r>
    </w:p>
    <w:p w:rsidR="00E44800" w:rsidRPr="006441C7" w:rsidRDefault="00E44800">
      <w:pPr>
        <w:pStyle w:val="newncpi"/>
      </w:pPr>
      <w:r w:rsidRPr="006441C7">
        <w:t>подрядчика в случае заключения договора строительного подряда;</w:t>
      </w:r>
    </w:p>
    <w:p w:rsidR="00E44800" w:rsidRPr="006441C7" w:rsidRDefault="00E44800">
      <w:pPr>
        <w:pStyle w:val="newncpi"/>
      </w:pPr>
      <w:r w:rsidRPr="006441C7">
        <w:t>разработчика чертежей (монтажных схем), послуживших основой для строительства объекта;</w:t>
      </w:r>
    </w:p>
    <w:p w:rsidR="00E44800" w:rsidRPr="006441C7" w:rsidRDefault="00E44800">
      <w:pPr>
        <w:pStyle w:val="newncpi"/>
      </w:pPr>
      <w:r w:rsidRPr="006441C7">
        <w:t>эксплуатационной организации (при ее наличии);</w:t>
      </w:r>
    </w:p>
    <w:p w:rsidR="00E44800" w:rsidRPr="006441C7" w:rsidRDefault="00E44800">
      <w:pPr>
        <w:pStyle w:val="newncpi"/>
      </w:pPr>
      <w:r w:rsidRPr="006441C7">
        <w:t>местного исполнительного и распорядительного органа базового территориального уровня;</w:t>
      </w:r>
    </w:p>
    <w:p w:rsidR="00E44800" w:rsidRPr="006441C7" w:rsidRDefault="00E44800">
      <w:pPr>
        <w:pStyle w:val="newncpi"/>
      </w:pPr>
      <w:r w:rsidRPr="006441C7">
        <w:t>территориальных органов по чрезвычайным ситуациям;</w:t>
      </w:r>
    </w:p>
    <w:p w:rsidR="00E44800" w:rsidRPr="006441C7" w:rsidRDefault="00E44800">
      <w:pPr>
        <w:pStyle w:val="newncpi"/>
      </w:pPr>
      <w:r w:rsidRPr="006441C7">
        <w:t>органов государственного энергетического и газового надзора.</w:t>
      </w:r>
    </w:p>
    <w:p w:rsidR="00E44800" w:rsidRPr="006441C7" w:rsidRDefault="00E44800">
      <w:pPr>
        <w:pStyle w:val="point"/>
      </w:pPr>
      <w:r w:rsidRPr="006441C7">
        <w:t>4. При приемке в эксплуатацию объект оценивается приемочной комиссией по следующим критериям:</w:t>
      </w:r>
    </w:p>
    <w:p w:rsidR="00E44800" w:rsidRPr="006441C7" w:rsidRDefault="00E44800">
      <w:pPr>
        <w:pStyle w:val="newncpi"/>
      </w:pPr>
      <w:r w:rsidRPr="006441C7">
        <w:t>соответствие четвертому и пятому классам сложности;</w:t>
      </w:r>
    </w:p>
    <w:p w:rsidR="00E44800" w:rsidRPr="006441C7" w:rsidRDefault="00E44800">
      <w:pPr>
        <w:pStyle w:val="newncpi"/>
      </w:pPr>
      <w:r w:rsidRPr="006441C7">
        <w:t>соответствие эскизному проекту;</w:t>
      </w:r>
    </w:p>
    <w:p w:rsidR="00E44800" w:rsidRPr="006441C7" w:rsidRDefault="00E44800">
      <w:pPr>
        <w:pStyle w:val="newncpi"/>
      </w:pPr>
      <w:r w:rsidRPr="006441C7">
        <w:t xml:space="preserve">соответствие используемых при строительстве строительных материалов, изделий и конструкций обязательным для соблюдения требованиям технических нормативных </w:t>
      </w:r>
      <w:r w:rsidRPr="006441C7">
        <w:lastRenderedPageBreak/>
        <w:t>правовых актов в области технического нормирования и стандартизации в целях обеспечения эксплуатационной надежности и безопасности;</w:t>
      </w:r>
    </w:p>
    <w:p w:rsidR="00E44800" w:rsidRPr="006441C7" w:rsidRDefault="00E44800">
      <w:pPr>
        <w:pStyle w:val="newncpi"/>
      </w:pPr>
      <w:r w:rsidRPr="006441C7">
        <w:t>соответствие требованиям нормативных правовых актов в части обеспечения безопасности жизни и здоровья граждан, эксплуатационной надежности и безопасности;</w:t>
      </w:r>
    </w:p>
    <w:p w:rsidR="00E44800" w:rsidRPr="006441C7" w:rsidRDefault="00E44800">
      <w:pPr>
        <w:pStyle w:val="newncpi"/>
      </w:pPr>
      <w:r w:rsidRPr="006441C7">
        <w:t>соответствие требованиям экологической безопасности;</w:t>
      </w:r>
    </w:p>
    <w:p w:rsidR="00E44800" w:rsidRPr="006441C7" w:rsidRDefault="00E44800">
      <w:pPr>
        <w:pStyle w:val="newncpi"/>
      </w:pPr>
      <w:r w:rsidRPr="006441C7">
        <w:t>готовность инженерной инфраструктуры обеспечивать подачу, учет и отведение ресурсов;</w:t>
      </w:r>
    </w:p>
    <w:p w:rsidR="00E44800" w:rsidRPr="006441C7" w:rsidRDefault="00E44800">
      <w:pPr>
        <w:pStyle w:val="newncpi"/>
      </w:pPr>
      <w:r w:rsidRPr="006441C7">
        <w:t>возможность полноценно и безопасно осуществлять эксплуатацию объекта;</w:t>
      </w:r>
    </w:p>
    <w:p w:rsidR="00E44800" w:rsidRPr="006441C7" w:rsidRDefault="00E44800">
      <w:pPr>
        <w:pStyle w:val="newncpi"/>
      </w:pPr>
      <w:r w:rsidRPr="006441C7">
        <w:t>доступность общих узлов инженерного оборудования для их обслуживания в процессе эксплуатации объекта;</w:t>
      </w:r>
    </w:p>
    <w:p w:rsidR="00E44800" w:rsidRPr="006441C7" w:rsidRDefault="00E44800">
      <w:pPr>
        <w:pStyle w:val="newncpi"/>
      </w:pPr>
      <w:r w:rsidRPr="006441C7">
        <w:t>возможность обеспечения подъезда автомобилей специального назначения и аварийных слу</w:t>
      </w:r>
      <w:proofErr w:type="gramStart"/>
      <w:r w:rsidRPr="006441C7">
        <w:t>жб к пр</w:t>
      </w:r>
      <w:proofErr w:type="gramEnd"/>
      <w:r w:rsidRPr="006441C7">
        <w:t>инимаемому в эксплуатацию объекту;</w:t>
      </w:r>
    </w:p>
    <w:p w:rsidR="00E44800" w:rsidRPr="006441C7" w:rsidRDefault="00E44800">
      <w:pPr>
        <w:pStyle w:val="newncpi"/>
      </w:pPr>
      <w:r w:rsidRPr="006441C7">
        <w:t>создание на объекте доступной среды для инвалидов и физически ослабленных лиц.</w:t>
      </w:r>
    </w:p>
    <w:p w:rsidR="00E44800" w:rsidRPr="006441C7" w:rsidRDefault="00E44800">
      <w:pPr>
        <w:pStyle w:val="point"/>
      </w:pPr>
      <w:r w:rsidRPr="006441C7">
        <w:t>5. Соответствие принимаемых в эксплуатацию объектов требованиям нормативных правовых актов, в том числе обязательным для соблюдения требованиям технических нормативных правовых актов, должно подтверждаться заключениями органов государственного надзора*, выдаваемыми в пределах их компетенции.</w:t>
      </w:r>
    </w:p>
    <w:p w:rsidR="00E44800" w:rsidRPr="006441C7" w:rsidRDefault="00E44800">
      <w:pPr>
        <w:pStyle w:val="newncpi"/>
      </w:pPr>
      <w:r w:rsidRPr="006441C7">
        <w:t>Органы государственного надзора в течение срока, установленного законодательством об административных процедурах, при выдаче положительного заключения по принимаемому в эксплуатацию объекту или мотивированного отказа в выдаче такого заключения обязаны оценивать соответствие объекта исключительно требованиям нормативных правовых актов, в том числе обязательным для соблюдения требованиям технических нормативных правовых актов.</w:t>
      </w:r>
    </w:p>
    <w:p w:rsidR="00E44800" w:rsidRPr="006441C7" w:rsidRDefault="00E44800">
      <w:pPr>
        <w:pStyle w:val="newncpi"/>
      </w:pPr>
      <w:r w:rsidRPr="006441C7">
        <w:t>Предъявление требований, не предусмотренных нормативными правовыми актами, в том числе обязательными для соблюдения техническими нормативными правовыми актами, не допускается.</w:t>
      </w:r>
    </w:p>
    <w:p w:rsidR="00E44800" w:rsidRPr="006441C7" w:rsidRDefault="00E44800">
      <w:pPr>
        <w:pStyle w:val="snoskiline"/>
      </w:pPr>
      <w:r w:rsidRPr="006441C7">
        <w:t>______________________________</w:t>
      </w:r>
    </w:p>
    <w:p w:rsidR="00E44800" w:rsidRPr="006441C7" w:rsidRDefault="00E44800">
      <w:pPr>
        <w:pStyle w:val="snoski"/>
        <w:spacing w:after="240"/>
      </w:pPr>
      <w:r w:rsidRPr="006441C7">
        <w:t>* За исключением органов государственного энергетического и газового надзора, надзорных органов Министерства по чрезвычайным ситуациям.</w:t>
      </w:r>
    </w:p>
    <w:p w:rsidR="00E44800" w:rsidRDefault="00E44800">
      <w:pPr>
        <w:pStyle w:val="point"/>
      </w:pPr>
      <w:r w:rsidRPr="006441C7">
        <w:t>6. Приемка в эксплуатацию объектов при отсутствии положительных заключений органов государственного надзора запрещается.</w:t>
      </w:r>
    </w:p>
    <w:p w:rsidR="00E44800" w:rsidRDefault="00E44800">
      <w:pPr>
        <w:pStyle w:val="newncpi"/>
      </w:pPr>
      <w:r>
        <w:t> </w:t>
      </w:r>
    </w:p>
    <w:p w:rsidR="00AA5D25" w:rsidRDefault="00AA5D25"/>
    <w:sectPr w:rsidR="00AA5D25" w:rsidSect="00E44800">
      <w:headerReference w:type="even" r:id="rId8"/>
      <w:headerReference w:type="default" r:id="rId9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5D" w:rsidRDefault="00E1225D" w:rsidP="00E44800">
      <w:pPr>
        <w:spacing w:after="0" w:line="240" w:lineRule="auto"/>
      </w:pPr>
      <w:r>
        <w:separator/>
      </w:r>
    </w:p>
  </w:endnote>
  <w:endnote w:type="continuationSeparator" w:id="0">
    <w:p w:rsidR="00E1225D" w:rsidRDefault="00E1225D" w:rsidP="00E4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5D" w:rsidRDefault="00E1225D" w:rsidP="00E44800">
      <w:pPr>
        <w:spacing w:after="0" w:line="240" w:lineRule="auto"/>
      </w:pPr>
      <w:r>
        <w:separator/>
      </w:r>
    </w:p>
  </w:footnote>
  <w:footnote w:type="continuationSeparator" w:id="0">
    <w:p w:rsidR="00E1225D" w:rsidRDefault="00E1225D" w:rsidP="00E4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00" w:rsidRDefault="00412613" w:rsidP="00E1225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8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800" w:rsidRDefault="00E448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00" w:rsidRPr="00E44800" w:rsidRDefault="00412613" w:rsidP="00E1225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44800">
      <w:rPr>
        <w:rStyle w:val="a7"/>
        <w:rFonts w:ascii="Times New Roman" w:hAnsi="Times New Roman" w:cs="Times New Roman"/>
        <w:sz w:val="24"/>
      </w:rPr>
      <w:fldChar w:fldCharType="begin"/>
    </w:r>
    <w:r w:rsidR="00E44800" w:rsidRPr="00E4480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44800">
      <w:rPr>
        <w:rStyle w:val="a7"/>
        <w:rFonts w:ascii="Times New Roman" w:hAnsi="Times New Roman" w:cs="Times New Roman"/>
        <w:sz w:val="24"/>
      </w:rPr>
      <w:fldChar w:fldCharType="separate"/>
    </w:r>
    <w:r w:rsidR="00ED6E90">
      <w:rPr>
        <w:rStyle w:val="a7"/>
        <w:rFonts w:ascii="Times New Roman" w:hAnsi="Times New Roman" w:cs="Times New Roman"/>
        <w:noProof/>
        <w:sz w:val="24"/>
      </w:rPr>
      <w:t>3</w:t>
    </w:r>
    <w:r w:rsidRPr="00E44800">
      <w:rPr>
        <w:rStyle w:val="a7"/>
        <w:rFonts w:ascii="Times New Roman" w:hAnsi="Times New Roman" w:cs="Times New Roman"/>
        <w:sz w:val="24"/>
      </w:rPr>
      <w:fldChar w:fldCharType="end"/>
    </w:r>
  </w:p>
  <w:p w:rsidR="00E44800" w:rsidRPr="00E44800" w:rsidRDefault="00E4480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00"/>
    <w:rsid w:val="001009C9"/>
    <w:rsid w:val="001B599E"/>
    <w:rsid w:val="002F4EE3"/>
    <w:rsid w:val="003C23F1"/>
    <w:rsid w:val="00412613"/>
    <w:rsid w:val="005F500B"/>
    <w:rsid w:val="00620ED6"/>
    <w:rsid w:val="006441C7"/>
    <w:rsid w:val="00AA5D25"/>
    <w:rsid w:val="00CF7A63"/>
    <w:rsid w:val="00E1225D"/>
    <w:rsid w:val="00E14CE0"/>
    <w:rsid w:val="00E44800"/>
    <w:rsid w:val="00E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4480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E4480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4480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4480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E44800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4480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4480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4480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4480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4480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448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4480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4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4800"/>
  </w:style>
  <w:style w:type="paragraph" w:styleId="a5">
    <w:name w:val="footer"/>
    <w:basedOn w:val="a"/>
    <w:link w:val="a6"/>
    <w:uiPriority w:val="99"/>
    <w:semiHidden/>
    <w:unhideWhenUsed/>
    <w:rsid w:val="00E4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4800"/>
  </w:style>
  <w:style w:type="character" w:styleId="a7">
    <w:name w:val="page number"/>
    <w:basedOn w:val="a0"/>
    <w:uiPriority w:val="99"/>
    <w:semiHidden/>
    <w:unhideWhenUsed/>
    <w:rsid w:val="00E44800"/>
  </w:style>
  <w:style w:type="table" w:styleId="a8">
    <w:name w:val="Table Grid"/>
    <w:basedOn w:val="a1"/>
    <w:uiPriority w:val="59"/>
    <w:rsid w:val="00E44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4480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E4480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4480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4480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E44800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E448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4480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4480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4480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4480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4480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448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4480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4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4800"/>
  </w:style>
  <w:style w:type="paragraph" w:styleId="a5">
    <w:name w:val="footer"/>
    <w:basedOn w:val="a"/>
    <w:link w:val="a6"/>
    <w:uiPriority w:val="99"/>
    <w:semiHidden/>
    <w:unhideWhenUsed/>
    <w:rsid w:val="00E4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4800"/>
  </w:style>
  <w:style w:type="character" w:styleId="a7">
    <w:name w:val="page number"/>
    <w:basedOn w:val="a0"/>
    <w:uiPriority w:val="99"/>
    <w:semiHidden/>
    <w:unhideWhenUsed/>
    <w:rsid w:val="00E44800"/>
  </w:style>
  <w:style w:type="table" w:styleId="a8">
    <w:name w:val="Table Grid"/>
    <w:basedOn w:val="a1"/>
    <w:uiPriority w:val="59"/>
    <w:rsid w:val="00E44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25C2-DB9D-4807-B5D3-606D3FA6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2026-03-17T18:32:00Z</dcterms:created>
  <dcterms:modified xsi:type="dcterms:W3CDTF">2026-03-17T18:32:00Z</dcterms:modified>
</cp:coreProperties>
</file>