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lastRenderedPageBreak/>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C43BCD" w:rsidRDefault="000A59B8"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proofErr w:type="gram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p w:rsidR="00C43BCD" w:rsidRPr="00C43BCD" w:rsidRDefault="00C43BCD"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roofErr w:type="gramEnd"/>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bookmarkStart w:id="0" w:name="_GoBack"/>
            <w:bookmarkEnd w:id="0"/>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 xml:space="preserve">Республики Беларусь, иностранным гражданином, лицом без гражданства, постоянно </w:t>
            </w:r>
            <w:proofErr w:type="gramStart"/>
            <w:r w:rsidRPr="00333BDF">
              <w:rPr>
                <w:rFonts w:ascii="Times New Roman" w:hAnsi="Times New Roman" w:cs="Times New Roman"/>
                <w:spacing w:val="-20"/>
                <w:sz w:val="30"/>
                <w:szCs w:val="30"/>
              </w:rPr>
              <w:t>проживающими</w:t>
            </w:r>
            <w:proofErr w:type="gramEnd"/>
            <w:r w:rsidRPr="00333BDF">
              <w:rPr>
                <w:rFonts w:ascii="Times New Roman" w:hAnsi="Times New Roman" w:cs="Times New Roman"/>
                <w:spacing w:val="-20"/>
                <w:sz w:val="30"/>
                <w:szCs w:val="30"/>
              </w:rPr>
              <w:t xml:space="preserve">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w:t>
            </w:r>
            <w:proofErr w:type="gramStart"/>
            <w:r w:rsidRPr="00333BDF">
              <w:rPr>
                <w:rFonts w:ascii="Times New Roman" w:hAnsi="Times New Roman" w:cs="Times New Roman"/>
                <w:spacing w:val="-20"/>
                <w:sz w:val="30"/>
                <w:szCs w:val="30"/>
              </w:rPr>
              <w:t>въехавших</w:t>
            </w:r>
            <w:proofErr w:type="gramEnd"/>
            <w:r w:rsidRPr="00333BDF">
              <w:rPr>
                <w:rFonts w:ascii="Times New Roman" w:hAnsi="Times New Roman" w:cs="Times New Roman"/>
                <w:spacing w:val="-20"/>
                <w:sz w:val="30"/>
                <w:szCs w:val="30"/>
              </w:rPr>
              <w:t xml:space="preserve">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7"/>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50" w:rsidRDefault="00BF3150" w:rsidP="00934860">
      <w:pPr>
        <w:spacing w:after="0" w:line="240" w:lineRule="auto"/>
      </w:pPr>
      <w:r>
        <w:separator/>
      </w:r>
    </w:p>
  </w:endnote>
  <w:endnote w:type="continuationSeparator" w:id="0">
    <w:p w:rsidR="00BF3150" w:rsidRDefault="00BF3150"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CD" w:rsidRDefault="00C43BCD">
    <w:pPr>
      <w:pStyle w:val="a6"/>
      <w:jc w:val="center"/>
    </w:pPr>
  </w:p>
  <w:p w:rsidR="00C43BCD" w:rsidRDefault="00C43B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50" w:rsidRDefault="00BF3150" w:rsidP="00934860">
      <w:pPr>
        <w:spacing w:after="0" w:line="240" w:lineRule="auto"/>
      </w:pPr>
      <w:r>
        <w:separator/>
      </w:r>
    </w:p>
  </w:footnote>
  <w:footnote w:type="continuationSeparator" w:id="0">
    <w:p w:rsidR="00BF3150" w:rsidRDefault="00BF3150"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E59FF"/>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A670AE"/>
    <w:rsid w:val="00B63ECF"/>
    <w:rsid w:val="00BB37B3"/>
    <w:rsid w:val="00BE7136"/>
    <w:rsid w:val="00BF3150"/>
    <w:rsid w:val="00C10C58"/>
    <w:rsid w:val="00C30A97"/>
    <w:rsid w:val="00C43BCD"/>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19115</Words>
  <Characters>108962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Юлия АЮЛ. Агеенко</cp:lastModifiedBy>
  <cp:revision>4</cp:revision>
  <cp:lastPrinted>2026-02-06T08:41:00Z</cp:lastPrinted>
  <dcterms:created xsi:type="dcterms:W3CDTF">2026-02-06T05:27:00Z</dcterms:created>
  <dcterms:modified xsi:type="dcterms:W3CDTF">2026-02-06T09:03:00Z</dcterms:modified>
</cp:coreProperties>
</file>