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bookmarkStart w:id="0" w:name="_GoBack"/>
      <w:bookmarkEnd w:id="0"/>
      <w:r w:rsidRPr="00D824A7">
        <w:rPr>
          <w:rFonts w:eastAsia="Calibri" w:cs="Times New Roman"/>
          <w:szCs w:val="30"/>
        </w:rPr>
        <w:t>Региональная карта помощи несовершеннолетним,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 xml:space="preserve"> пострадавшим от сексуального насилия или эксплуатации,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Витебской области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12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D824A7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9.00-13.00, </w:t>
            </w:r>
            <w:r w:rsidRPr="00D824A7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72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82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D824A7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24 89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359 22 02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21 74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29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41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пер.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20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(2138) 5 65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312 18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Новополоцкого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D824A7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74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г.Поставы,</w:t>
            </w:r>
            <w:r w:rsidRPr="00D824A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D824A7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90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D824A7" w:rsidRPr="00D824A7" w:rsidTr="004657A5">
        <w:trPr>
          <w:trHeight w:val="1002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D824A7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 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 314 00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Ушачского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г.п.Ушачи, ул.Ленинская, д.26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318 82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594 08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7.30 -16.00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23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ул.Советская, д.58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47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20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63 20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63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349 28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5 29 15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72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больница»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316 92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«Дубровенский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УЗ «Дубровенская 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lastRenderedPageBreak/>
              <w:t>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г.Дубровно, </w:t>
            </w:r>
            <w:r w:rsidRPr="00D824A7">
              <w:rPr>
                <w:rFonts w:eastAsia="Calibri"/>
                <w:spacing w:val="-14"/>
                <w:sz w:val="24"/>
                <w:szCs w:val="24"/>
              </w:rPr>
              <w:lastRenderedPageBreak/>
              <w:t>ул.Задубровенская</w:t>
            </w:r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28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8(029) 248 06 50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8(033) 304 78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детей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«Миорская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55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35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24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91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Полоцкого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«Полоцкая центральная городская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17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D824A7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76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центр социального обслуживания населения Сенненского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аг.Богданово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ул.Урожайная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(02135) 5 19 44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г.п.Коханово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45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99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населения Чашникского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г.Новолукомль,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35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899 15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546 81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Шарковщинского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92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г.п.Оболь,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95</w:t>
            </w: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213 56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D824A7" w:rsidTr="004657A5">
        <w:trPr>
          <w:trHeight w:val="1104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диспансер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стационар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 8.00-15.00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45 80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29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«Витебская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94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8.30-17.00,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D824A7" w:rsidRPr="00D824A7" w:rsidRDefault="00881808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D824A7" w:rsidRPr="00D824A7">
                <w:rPr>
                  <w:rFonts w:eastAsia="Times New Roman"/>
                  <w:sz w:val="24"/>
                  <w:szCs w:val="24"/>
                  <w:lang w:eastAsia="ru-RU"/>
                </w:rPr>
                <w:t>+375 (17) 300 100 6</w:t>
              </w:r>
            </w:hyperlink>
          </w:p>
          <w:p w:rsidR="00D824A7" w:rsidRPr="00D824A7" w:rsidRDefault="00881808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D824A7" w:rsidRPr="00D824A7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48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30545,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пн., вт.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,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вт.-ср.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ср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 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rPr>
          <w:trHeight w:val="721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ул.Некрасова, 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D824A7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ул.Красноармейская,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1087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пн., вт.</w:t>
            </w:r>
            <w:proofErr w:type="gramStart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,</w:t>
            </w:r>
            <w:proofErr w:type="gramEnd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чт., пт.</w:t>
            </w:r>
          </w:p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08.00-16.00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сб. 08.00 -12.00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«Миорская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04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D824A7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03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D8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77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18 58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социальной защите Поставского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д.25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(02155) 4 11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ул.Советская, 4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10 80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17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55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Октябрьского района           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(0212) 36 15 07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 д.9А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Верхнедвинского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г.Верхнедвинск, ул.Пушкина,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(02151) 6 28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85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30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74 23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8.00-15.30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Дубровенского района»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г.Дубровно, ул.Почтовая,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(02137) 5 28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18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3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94 31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06 13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Полоцкого района»,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(0214) 43 93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46 47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10 21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57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28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60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36 44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ул.Правды,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36-61-34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«Бешенковичская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08.00 -13.00,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8 (02131) 6 63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347 60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12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пн, вт, ср,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D824A7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D824A7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22 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(02136) 5 06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сб.-вс.,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A3743E" w:rsidRDefault="00A3743E" w:rsidP="004657A5">
      <w:pPr>
        <w:ind w:firstLine="0"/>
      </w:pPr>
    </w:p>
    <w:sectPr w:rsidR="00A3743E" w:rsidSect="004657A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08" w:rsidRDefault="00881808">
      <w:r>
        <w:separator/>
      </w:r>
    </w:p>
  </w:endnote>
  <w:endnote w:type="continuationSeparator" w:id="0">
    <w:p w:rsidR="00881808" w:rsidRDefault="0088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08" w:rsidRDefault="00881808">
      <w:r>
        <w:separator/>
      </w:r>
    </w:p>
  </w:footnote>
  <w:footnote w:type="continuationSeparator" w:id="0">
    <w:p w:rsidR="00881808" w:rsidRDefault="0088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4184"/>
      <w:docPartObj>
        <w:docPartGallery w:val="Page Numbers (Top of Page)"/>
        <w:docPartUnique/>
      </w:docPartObj>
    </w:sdtPr>
    <w:sdtEndPr/>
    <w:sdtContent>
      <w:p w:rsidR="004657A5" w:rsidRDefault="004657A5" w:rsidP="004657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8D6">
          <w:rPr>
            <w:noProof/>
          </w:rPr>
          <w:t>29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2"/>
    <w:rsid w:val="002021E2"/>
    <w:rsid w:val="004657A5"/>
    <w:rsid w:val="006F1B01"/>
    <w:rsid w:val="007475D1"/>
    <w:rsid w:val="00881808"/>
    <w:rsid w:val="00933D37"/>
    <w:rsid w:val="00A3743E"/>
    <w:rsid w:val="00D824A7"/>
    <w:rsid w:val="00E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Харкевич Елена Петровна</cp:lastModifiedBy>
  <cp:revision>2</cp:revision>
  <dcterms:created xsi:type="dcterms:W3CDTF">2026-02-20T08:36:00Z</dcterms:created>
  <dcterms:modified xsi:type="dcterms:W3CDTF">2026-02-20T08:36:00Z</dcterms:modified>
</cp:coreProperties>
</file>