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D" w:rsidRPr="00C63F33" w:rsidRDefault="005C7BAD" w:rsidP="005C7BAD">
      <w:pPr>
        <w:pStyle w:val="a4"/>
        <w:ind w:firstLine="0"/>
        <w:jc w:val="center"/>
        <w:rPr>
          <w:b/>
          <w:sz w:val="30"/>
        </w:rPr>
      </w:pPr>
      <w:r w:rsidRPr="00C63F33">
        <w:rPr>
          <w:b/>
          <w:sz w:val="30"/>
        </w:rPr>
        <w:t>Информация</w:t>
      </w:r>
    </w:p>
    <w:p w:rsidR="005C7BAD" w:rsidRPr="00C63F33" w:rsidRDefault="005C7BAD" w:rsidP="005C7BAD">
      <w:pPr>
        <w:pStyle w:val="a4"/>
        <w:ind w:firstLine="0"/>
        <w:jc w:val="center"/>
        <w:rPr>
          <w:b/>
          <w:sz w:val="30"/>
        </w:rPr>
      </w:pPr>
      <w:r w:rsidRPr="00C63F33">
        <w:rPr>
          <w:b/>
          <w:sz w:val="30"/>
        </w:rPr>
        <w:t>о состоянии производственного травматизма</w:t>
      </w:r>
    </w:p>
    <w:p w:rsidR="005C7BAD" w:rsidRPr="00C63F33" w:rsidRDefault="005C7BAD" w:rsidP="005C7BAD">
      <w:pPr>
        <w:pStyle w:val="a4"/>
        <w:ind w:firstLine="0"/>
        <w:jc w:val="center"/>
        <w:rPr>
          <w:b/>
          <w:sz w:val="30"/>
        </w:rPr>
      </w:pPr>
      <w:r w:rsidRPr="00C63F33">
        <w:rPr>
          <w:b/>
          <w:sz w:val="30"/>
        </w:rPr>
        <w:t>в организациях Витебской области и анализ причин несчастных случаев</w:t>
      </w:r>
      <w:r>
        <w:rPr>
          <w:b/>
          <w:sz w:val="30"/>
        </w:rPr>
        <w:t xml:space="preserve"> </w:t>
      </w:r>
      <w:r w:rsidRPr="00C63F33">
        <w:rPr>
          <w:b/>
          <w:sz w:val="30"/>
        </w:rPr>
        <w:t>на производстве по итогам работы за I квартал 2022 года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По оперативным данным Витебского областного управления Департамента государственной инспекции труда (Далее - управление), в организациях Витебской области за I квартал 2022 года общее количество несчастных случаев на производс</w:t>
      </w:r>
      <w:r w:rsidRPr="00C63F33">
        <w:rPr>
          <w:sz w:val="30"/>
        </w:rPr>
        <w:t>т</w:t>
      </w:r>
      <w:r w:rsidRPr="00C63F33">
        <w:rPr>
          <w:sz w:val="30"/>
        </w:rPr>
        <w:t>ве составило 49 случаев (аналогичный период 2021 года - 41). Из них 4 работника погибло (за аналогичный период 2021 год - 6), что свидетельствует о снижении н</w:t>
      </w:r>
      <w:r w:rsidRPr="00C63F33">
        <w:rPr>
          <w:sz w:val="30"/>
        </w:rPr>
        <w:t>е</w:t>
      </w:r>
      <w:r w:rsidRPr="00C63F33">
        <w:rPr>
          <w:sz w:val="30"/>
        </w:rPr>
        <w:t>счастных случаев со смертельным исходом на 33%.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Следует отметить, что за I квартал 2022 года кроме указанных 4 сме</w:t>
      </w:r>
      <w:r w:rsidRPr="00C63F33">
        <w:rPr>
          <w:sz w:val="30"/>
        </w:rPr>
        <w:t>р</w:t>
      </w:r>
      <w:r w:rsidRPr="00C63F33">
        <w:rPr>
          <w:sz w:val="30"/>
        </w:rPr>
        <w:t>тельных несчастных случаев, состоящих на учёте - 17 человек умерло на производстве в р</w:t>
      </w:r>
      <w:r w:rsidRPr="00C63F33">
        <w:rPr>
          <w:sz w:val="30"/>
        </w:rPr>
        <w:t>е</w:t>
      </w:r>
      <w:r w:rsidRPr="00C63F33">
        <w:rPr>
          <w:sz w:val="30"/>
        </w:rPr>
        <w:t xml:space="preserve">зультате наличия у работника заболевания и по результатам расследования данные случаи квалифицированы как не производственные 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 xml:space="preserve">За I квартал 2022 года рост производственного травматизма со смертельным исходом отмечен в организациях Полоцкого района - 2 (I квартал 2021 - 0), </w:t>
      </w:r>
      <w:proofErr w:type="spellStart"/>
      <w:r w:rsidRPr="00C63F33">
        <w:rPr>
          <w:sz w:val="30"/>
        </w:rPr>
        <w:t>Шум</w:t>
      </w:r>
      <w:r w:rsidRPr="00C63F33">
        <w:rPr>
          <w:sz w:val="30"/>
        </w:rPr>
        <w:t>и</w:t>
      </w:r>
      <w:r w:rsidRPr="00C63F33">
        <w:rPr>
          <w:sz w:val="30"/>
        </w:rPr>
        <w:t>линского</w:t>
      </w:r>
      <w:proofErr w:type="spellEnd"/>
      <w:r w:rsidRPr="00C63F33">
        <w:rPr>
          <w:sz w:val="30"/>
        </w:rPr>
        <w:t xml:space="preserve"> района – 1 (I квартал 2021 - 0). 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Количество смертельных несчастных случаев в организациях коммунал</w:t>
      </w:r>
      <w:r w:rsidRPr="00C63F33">
        <w:rPr>
          <w:sz w:val="30"/>
        </w:rPr>
        <w:t>ь</w:t>
      </w:r>
      <w:r w:rsidRPr="00C63F33">
        <w:rPr>
          <w:sz w:val="30"/>
        </w:rPr>
        <w:t>ной формы собственности снизилось с 3-х до 2-х случаев, при этом рост смертельн</w:t>
      </w:r>
      <w:r w:rsidRPr="00C63F33">
        <w:rPr>
          <w:sz w:val="30"/>
        </w:rPr>
        <w:t>о</w:t>
      </w:r>
      <w:r w:rsidRPr="00C63F33">
        <w:rPr>
          <w:sz w:val="30"/>
        </w:rPr>
        <w:t>го травматизма отмечается в организациях сельского хозяйства - 1 (I квартал 2021 года – 0). Снижение случаев смертельного травматизма отмечается в организациях без ведомственной подчиненности с 3-х до 1.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proofErr w:type="gramStart"/>
      <w:r w:rsidRPr="00C63F33">
        <w:rPr>
          <w:sz w:val="30"/>
        </w:rPr>
        <w:t>В I квартале 2022 года отмечается рост количества случаев смертельного производственного травматизма в организациях республиканской формы со</w:t>
      </w:r>
      <w:r w:rsidRPr="00C63F33">
        <w:rPr>
          <w:sz w:val="30"/>
        </w:rPr>
        <w:t>б</w:t>
      </w:r>
      <w:r w:rsidRPr="00C63F33">
        <w:rPr>
          <w:sz w:val="30"/>
        </w:rPr>
        <w:t xml:space="preserve">ственности Министерства образования, Министерства связи, </w:t>
      </w:r>
      <w:proofErr w:type="spellStart"/>
      <w:r w:rsidRPr="00C63F33">
        <w:rPr>
          <w:sz w:val="30"/>
        </w:rPr>
        <w:t>Минлесхоза</w:t>
      </w:r>
      <w:proofErr w:type="spellEnd"/>
      <w:r w:rsidRPr="00C63F33">
        <w:rPr>
          <w:sz w:val="30"/>
        </w:rPr>
        <w:t xml:space="preserve"> - 1 случай (аналогичный период 2021 - 0), кроме того также отмечается рост колич</w:t>
      </w:r>
      <w:r w:rsidRPr="00C63F33">
        <w:rPr>
          <w:sz w:val="30"/>
        </w:rPr>
        <w:t>е</w:t>
      </w:r>
      <w:r w:rsidRPr="00C63F33">
        <w:rPr>
          <w:sz w:val="30"/>
        </w:rPr>
        <w:t>ства несчастных случаев, приведших к тяжёлым травмам в организациях ре</w:t>
      </w:r>
      <w:r w:rsidRPr="00C63F33">
        <w:rPr>
          <w:sz w:val="30"/>
        </w:rPr>
        <w:t>с</w:t>
      </w:r>
      <w:r w:rsidRPr="00C63F33">
        <w:rPr>
          <w:sz w:val="30"/>
        </w:rPr>
        <w:t>публиканской формы собственности (</w:t>
      </w:r>
      <w:proofErr w:type="spellStart"/>
      <w:r w:rsidRPr="00C63F33">
        <w:rPr>
          <w:sz w:val="30"/>
        </w:rPr>
        <w:t>Минлесхоз</w:t>
      </w:r>
      <w:proofErr w:type="spellEnd"/>
      <w:r w:rsidRPr="00C63F33">
        <w:rPr>
          <w:sz w:val="30"/>
        </w:rPr>
        <w:t xml:space="preserve"> 4 (1), </w:t>
      </w:r>
      <w:proofErr w:type="spellStart"/>
      <w:r w:rsidRPr="00C63F33">
        <w:rPr>
          <w:sz w:val="30"/>
        </w:rPr>
        <w:t>Беллесбумпром</w:t>
      </w:r>
      <w:proofErr w:type="spellEnd"/>
      <w:r w:rsidRPr="00C63F33">
        <w:rPr>
          <w:sz w:val="30"/>
        </w:rPr>
        <w:t>, Мин</w:t>
      </w:r>
      <w:r w:rsidRPr="00C63F33">
        <w:rPr>
          <w:sz w:val="30"/>
        </w:rPr>
        <w:t>и</w:t>
      </w:r>
      <w:r w:rsidRPr="00C63F33">
        <w:rPr>
          <w:sz w:val="30"/>
        </w:rPr>
        <w:t>стерство строительства и архитектуры 2 (0), Министерства связи 1 (0)).</w:t>
      </w:r>
      <w:proofErr w:type="gramEnd"/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Рост несчастных случаев, приведших к тяжёлым производственным травмам в текущем периоде 2022 года в сравнении с I кварталом 2021 года отмечен в орган</w:t>
      </w:r>
      <w:r w:rsidRPr="00C63F33">
        <w:rPr>
          <w:sz w:val="30"/>
        </w:rPr>
        <w:t>и</w:t>
      </w:r>
      <w:r w:rsidRPr="00C63F33">
        <w:rPr>
          <w:sz w:val="30"/>
        </w:rPr>
        <w:t>зациях, расположенных на территории: г</w:t>
      </w:r>
      <w:proofErr w:type="gramStart"/>
      <w:r w:rsidRPr="00C63F33">
        <w:rPr>
          <w:sz w:val="30"/>
        </w:rPr>
        <w:t>.В</w:t>
      </w:r>
      <w:proofErr w:type="gramEnd"/>
      <w:r w:rsidRPr="00C63F33">
        <w:rPr>
          <w:sz w:val="30"/>
        </w:rPr>
        <w:t>итебска – 10(7), в том числе в организац</w:t>
      </w:r>
      <w:r w:rsidRPr="00C63F33">
        <w:rPr>
          <w:sz w:val="30"/>
        </w:rPr>
        <w:t>и</w:t>
      </w:r>
      <w:r w:rsidRPr="00C63F33">
        <w:rPr>
          <w:sz w:val="30"/>
        </w:rPr>
        <w:t xml:space="preserve">ях Первомайского района г. Витебска – 6(4), Октябрьского района г. Витебска – 3(1) и организациях следующих районов: </w:t>
      </w:r>
      <w:proofErr w:type="spellStart"/>
      <w:r w:rsidRPr="00C63F33">
        <w:rPr>
          <w:sz w:val="30"/>
        </w:rPr>
        <w:t>Поставского</w:t>
      </w:r>
      <w:proofErr w:type="spellEnd"/>
      <w:r w:rsidRPr="00C63F33">
        <w:rPr>
          <w:sz w:val="30"/>
        </w:rPr>
        <w:t xml:space="preserve"> – 3(0); </w:t>
      </w:r>
      <w:proofErr w:type="spellStart"/>
      <w:r w:rsidRPr="00C63F33">
        <w:rPr>
          <w:sz w:val="30"/>
        </w:rPr>
        <w:t>Оршанского</w:t>
      </w:r>
      <w:proofErr w:type="spellEnd"/>
      <w:r w:rsidRPr="00C63F33">
        <w:rPr>
          <w:sz w:val="30"/>
        </w:rPr>
        <w:t xml:space="preserve"> – 3(2), </w:t>
      </w:r>
      <w:proofErr w:type="spellStart"/>
      <w:r w:rsidRPr="00C63F33">
        <w:rPr>
          <w:sz w:val="30"/>
        </w:rPr>
        <w:t>Ша</w:t>
      </w:r>
      <w:r w:rsidRPr="00C63F33">
        <w:rPr>
          <w:sz w:val="30"/>
        </w:rPr>
        <w:t>р</w:t>
      </w:r>
      <w:r w:rsidRPr="00C63F33">
        <w:rPr>
          <w:sz w:val="30"/>
        </w:rPr>
        <w:t>ковщинского</w:t>
      </w:r>
      <w:proofErr w:type="spellEnd"/>
      <w:r w:rsidRPr="00C63F33">
        <w:rPr>
          <w:sz w:val="30"/>
        </w:rPr>
        <w:t xml:space="preserve"> – 2(1); </w:t>
      </w:r>
      <w:proofErr w:type="spellStart"/>
      <w:r w:rsidRPr="00C63F33">
        <w:rPr>
          <w:sz w:val="30"/>
        </w:rPr>
        <w:t>Докшицкого</w:t>
      </w:r>
      <w:proofErr w:type="spellEnd"/>
      <w:r w:rsidRPr="00C63F33">
        <w:rPr>
          <w:sz w:val="30"/>
        </w:rPr>
        <w:t xml:space="preserve"> и </w:t>
      </w:r>
      <w:proofErr w:type="spellStart"/>
      <w:r w:rsidRPr="00C63F33">
        <w:rPr>
          <w:sz w:val="30"/>
        </w:rPr>
        <w:t>Бешенковичского</w:t>
      </w:r>
      <w:proofErr w:type="spellEnd"/>
      <w:r w:rsidRPr="00C63F33">
        <w:rPr>
          <w:sz w:val="30"/>
        </w:rPr>
        <w:t xml:space="preserve"> районов – 1(0). 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lastRenderedPageBreak/>
        <w:t>За I квартал 2022 года отмечается снижение количества несчастных случаев на производстве приведших к тяжёлым травмам в организациях комм</w:t>
      </w:r>
      <w:r w:rsidRPr="00C63F33">
        <w:rPr>
          <w:sz w:val="30"/>
        </w:rPr>
        <w:t>у</w:t>
      </w:r>
      <w:r w:rsidRPr="00C63F33">
        <w:rPr>
          <w:sz w:val="30"/>
        </w:rPr>
        <w:t>нальной формы собственности с 13 до 10 случаев, в том числе в организациях сельского х</w:t>
      </w:r>
      <w:r w:rsidRPr="00C63F33">
        <w:rPr>
          <w:sz w:val="30"/>
        </w:rPr>
        <w:t>о</w:t>
      </w:r>
      <w:r w:rsidRPr="00C63F33">
        <w:rPr>
          <w:sz w:val="30"/>
        </w:rPr>
        <w:t>зяйства с 4 до 3. Вместе с тем отмечается рост количества несчастных случаев пр</w:t>
      </w:r>
      <w:r w:rsidRPr="00C63F33">
        <w:rPr>
          <w:sz w:val="30"/>
        </w:rPr>
        <w:t>и</w:t>
      </w:r>
      <w:r w:rsidRPr="00C63F33">
        <w:rPr>
          <w:sz w:val="30"/>
        </w:rPr>
        <w:t xml:space="preserve">ведших к тяжёлым травмам в организациях транспорта и коммуникаций с 0 до 2-х случаев, легкой промышленности с 1 до 2-х, в организациях относящимся к прочим видам деятельности с 0 </w:t>
      </w:r>
      <w:proofErr w:type="gramStart"/>
      <w:r w:rsidRPr="00C63F33">
        <w:rPr>
          <w:sz w:val="30"/>
        </w:rPr>
        <w:t>до</w:t>
      </w:r>
      <w:proofErr w:type="gramEnd"/>
      <w:r w:rsidRPr="00C63F33">
        <w:rPr>
          <w:sz w:val="30"/>
        </w:rPr>
        <w:t xml:space="preserve"> 1. 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За данный отчётный период смертельные несчастные случаи в организациях области произошли при следующих обстоятельствах: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падения на работника дерева - 1 случай (валка леса);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падения с высоты - 2 случая (1 - на объекте строительства, 1 -монтажные работы системы видеонаблюдения);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пожара – 1 случай.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proofErr w:type="gramStart"/>
      <w:r w:rsidRPr="00C63F33">
        <w:rPr>
          <w:sz w:val="30"/>
        </w:rPr>
        <w:t>Несчастные случаи, приведшие к тяжёлым производственным травмам в т</w:t>
      </w:r>
      <w:r w:rsidRPr="00C63F33">
        <w:rPr>
          <w:sz w:val="30"/>
        </w:rPr>
        <w:t>е</w:t>
      </w:r>
      <w:r w:rsidRPr="00C63F33">
        <w:rPr>
          <w:sz w:val="30"/>
        </w:rPr>
        <w:t>кущем периоде 2022 года в организациях Витебской области происходили</w:t>
      </w:r>
      <w:proofErr w:type="gramEnd"/>
      <w:r w:rsidRPr="00C63F33">
        <w:rPr>
          <w:sz w:val="30"/>
        </w:rPr>
        <w:t xml:space="preserve"> при следующих о</w:t>
      </w:r>
      <w:r w:rsidRPr="00C63F33">
        <w:rPr>
          <w:sz w:val="30"/>
        </w:rPr>
        <w:t>б</w:t>
      </w:r>
      <w:r w:rsidRPr="00C63F33">
        <w:rPr>
          <w:sz w:val="30"/>
        </w:rPr>
        <w:t>стоятельствах: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дорожно-транспортных происшествий - 2 случая;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падения работников - 12 случаев (в том числе падение р</w:t>
      </w:r>
      <w:r w:rsidRPr="00C63F33">
        <w:rPr>
          <w:sz w:val="30"/>
        </w:rPr>
        <w:t>а</w:t>
      </w:r>
      <w:r w:rsidRPr="00C63F33">
        <w:rPr>
          <w:sz w:val="30"/>
        </w:rPr>
        <w:t>ботников происходило с транспортных средств, при погрузке-разгрузке - 1 сл</w:t>
      </w:r>
      <w:r w:rsidRPr="00C63F33">
        <w:rPr>
          <w:sz w:val="30"/>
        </w:rPr>
        <w:t>у</w:t>
      </w:r>
      <w:r w:rsidRPr="00C63F33">
        <w:rPr>
          <w:sz w:val="30"/>
        </w:rPr>
        <w:t>чай; с высоты собственного роста, в том числе при передвижении по ровной п</w:t>
      </w:r>
      <w:r w:rsidRPr="00C63F33">
        <w:rPr>
          <w:sz w:val="30"/>
        </w:rPr>
        <w:t>о</w:t>
      </w:r>
      <w:r w:rsidRPr="00C63F33">
        <w:rPr>
          <w:sz w:val="30"/>
        </w:rPr>
        <w:t>верхности - 9 случаев; при выполнении монтажно-строительных работ - 2 случая);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падения (обрушения) на работников предметов, материалов и др. – 3 случая (1 – при выполнении лесосечных работ; 1 - при выполнении п</w:t>
      </w:r>
      <w:r w:rsidRPr="00C63F33">
        <w:rPr>
          <w:sz w:val="30"/>
        </w:rPr>
        <w:t>о</w:t>
      </w:r>
      <w:r w:rsidRPr="00C63F33">
        <w:rPr>
          <w:sz w:val="30"/>
        </w:rPr>
        <w:t>грузочно-разгрузочных работ; 1 – при выполнении земляных работ);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в результате воздействия на потерпевшего, движущихся, разлетающихся предметов и деталей, механизмов и др. – 3 случая (1 - воздействие, разлетающи</w:t>
      </w:r>
      <w:r w:rsidRPr="00C63F33">
        <w:rPr>
          <w:sz w:val="30"/>
        </w:rPr>
        <w:t>х</w:t>
      </w:r>
      <w:r w:rsidRPr="00C63F33">
        <w:rPr>
          <w:sz w:val="30"/>
        </w:rPr>
        <w:t>ся частей машин (обслуживание автотранспорта, разрушение колеса); 2 - возде</w:t>
      </w:r>
      <w:r w:rsidRPr="00C63F33">
        <w:rPr>
          <w:sz w:val="30"/>
        </w:rPr>
        <w:t>й</w:t>
      </w:r>
      <w:r w:rsidRPr="00C63F33">
        <w:rPr>
          <w:sz w:val="30"/>
        </w:rPr>
        <w:t>ствие движущихся вращающихся элементов оборудования);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Необходимо отметить, что за данный отчетный период в сравнении с 2021 годом сохранилось количество случаев производственного травматизма с рабо</w:t>
      </w:r>
      <w:r w:rsidRPr="00C63F33">
        <w:rPr>
          <w:sz w:val="30"/>
        </w:rPr>
        <w:t>т</w:t>
      </w:r>
      <w:r w:rsidRPr="00C63F33">
        <w:rPr>
          <w:sz w:val="30"/>
        </w:rPr>
        <w:t>никами, находящимися в состоянии алкогольного опьянения. В организациях о</w:t>
      </w:r>
      <w:r w:rsidRPr="00C63F33">
        <w:rPr>
          <w:sz w:val="30"/>
        </w:rPr>
        <w:t>б</w:t>
      </w:r>
      <w:r w:rsidRPr="00C63F33">
        <w:rPr>
          <w:sz w:val="30"/>
        </w:rPr>
        <w:t>ласти зарегистрировано 2 несчастных случая с работниками, находящимися в с</w:t>
      </w:r>
      <w:r w:rsidRPr="00C63F33">
        <w:rPr>
          <w:sz w:val="30"/>
        </w:rPr>
        <w:t>о</w:t>
      </w:r>
      <w:r w:rsidRPr="00C63F33">
        <w:rPr>
          <w:sz w:val="30"/>
        </w:rPr>
        <w:t>стоянии алкогольного опьянения: 1 несчастный случай со смертельным исходом и 1 случай с работником, пол</w:t>
      </w:r>
      <w:r w:rsidRPr="00C63F33">
        <w:rPr>
          <w:sz w:val="30"/>
        </w:rPr>
        <w:t>у</w:t>
      </w:r>
      <w:r w:rsidRPr="00C63F33">
        <w:rPr>
          <w:sz w:val="30"/>
        </w:rPr>
        <w:t xml:space="preserve">чившим </w:t>
      </w:r>
      <w:proofErr w:type="gramStart"/>
      <w:r w:rsidRPr="00C63F33">
        <w:rPr>
          <w:sz w:val="30"/>
        </w:rPr>
        <w:t>травмы</w:t>
      </w:r>
      <w:proofErr w:type="gramEnd"/>
      <w:r w:rsidRPr="00C63F33">
        <w:rPr>
          <w:sz w:val="30"/>
        </w:rPr>
        <w:t xml:space="preserve"> повлекшие тяжелый исход.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lastRenderedPageBreak/>
        <w:t>По результатам завершённых расследований установлены характерные пр</w:t>
      </w:r>
      <w:r w:rsidRPr="00C63F33">
        <w:rPr>
          <w:sz w:val="30"/>
        </w:rPr>
        <w:t>и</w:t>
      </w:r>
      <w:r w:rsidRPr="00C63F33">
        <w:rPr>
          <w:sz w:val="30"/>
        </w:rPr>
        <w:t>чины несчастных случаев, произошедших за I квартал 2022года: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личная неосторожность – 66,7%;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невыполнение руководителями и специалистами обязанностей по охране труда – 11,1%;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нарушение требований безопасности при эксплуатации неисправных, м</w:t>
      </w:r>
      <w:r w:rsidRPr="00C63F33">
        <w:rPr>
          <w:sz w:val="30"/>
        </w:rPr>
        <w:t>а</w:t>
      </w:r>
      <w:r w:rsidRPr="00C63F33">
        <w:rPr>
          <w:sz w:val="30"/>
        </w:rPr>
        <w:t>шин, механизмов, оборудования, оснастки, инструмента– 11,1%.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- другие причины (непредсказуемое поведение животных) – 11,1%.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За январь-март 2022 года государственными инспекторами труда в результате проведенных 74 надзорных мероприятий выявлено и предписано (рекомендовано) к устранению 2375 нарушений требований законодательства о труде и об охране тр</w:t>
      </w:r>
      <w:r w:rsidRPr="00C63F33">
        <w:rPr>
          <w:sz w:val="30"/>
        </w:rPr>
        <w:t>у</w:t>
      </w:r>
      <w:r w:rsidRPr="00C63F33">
        <w:rPr>
          <w:sz w:val="30"/>
        </w:rPr>
        <w:t>да.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В организациях по итогам надзорных мероприятий по указанию государственных инспекторов труда отстранено от работы 345 работников не прошедших инструктаж, пр</w:t>
      </w:r>
      <w:r w:rsidRPr="00C63F33">
        <w:rPr>
          <w:sz w:val="30"/>
        </w:rPr>
        <w:t>о</w:t>
      </w:r>
      <w:r w:rsidRPr="00C63F33">
        <w:rPr>
          <w:sz w:val="30"/>
        </w:rPr>
        <w:t>верку знаний по охране труда, не использующих требуемые средства индивидуальной з</w:t>
      </w:r>
      <w:r w:rsidRPr="00C63F33">
        <w:rPr>
          <w:sz w:val="30"/>
        </w:rPr>
        <w:t>а</w:t>
      </w:r>
      <w:r w:rsidRPr="00C63F33">
        <w:rPr>
          <w:sz w:val="30"/>
        </w:rPr>
        <w:t>щиты, обеспечивающие безопасность труда, не прошедших медицинский осмотр в случаях и порядке, предусмо</w:t>
      </w:r>
      <w:r w:rsidRPr="00C63F33">
        <w:rPr>
          <w:sz w:val="30"/>
        </w:rPr>
        <w:t>т</w:t>
      </w:r>
      <w:r w:rsidRPr="00C63F33">
        <w:rPr>
          <w:sz w:val="30"/>
        </w:rPr>
        <w:t>ренных законодательством.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На основании материалов госинспекторов труда привлечено к дисциплинарной ответственности 51 уполномоченное должностное лицо нанимателя, допустивших нар</w:t>
      </w:r>
      <w:r w:rsidRPr="00C63F33">
        <w:rPr>
          <w:sz w:val="30"/>
        </w:rPr>
        <w:t>у</w:t>
      </w:r>
      <w:r w:rsidRPr="00C63F33">
        <w:rPr>
          <w:sz w:val="30"/>
        </w:rPr>
        <w:t>шения законодательства о труде и об охране труда.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  <w:r w:rsidRPr="00C63F33">
        <w:rPr>
          <w:sz w:val="30"/>
        </w:rPr>
        <w:t>В ходе осуществления указанных профилактических мероприятий госинспе</w:t>
      </w:r>
      <w:r w:rsidRPr="00C63F33">
        <w:rPr>
          <w:sz w:val="30"/>
        </w:rPr>
        <w:t>к</w:t>
      </w:r>
      <w:r w:rsidRPr="00C63F33">
        <w:rPr>
          <w:sz w:val="30"/>
        </w:rPr>
        <w:t>торами труда приостановлена работа 100 единиц станков, машин и другого оборуд</w:t>
      </w:r>
      <w:r w:rsidRPr="00C63F33">
        <w:rPr>
          <w:sz w:val="30"/>
        </w:rPr>
        <w:t>о</w:t>
      </w:r>
      <w:r w:rsidRPr="00C63F33">
        <w:rPr>
          <w:sz w:val="30"/>
        </w:rPr>
        <w:t>вания, 11 цехов, 4 строительных объекта.</w:t>
      </w:r>
    </w:p>
    <w:p w:rsidR="005C7BAD" w:rsidRPr="00C63F33" w:rsidRDefault="005C7BAD" w:rsidP="005C7BAD">
      <w:pPr>
        <w:pStyle w:val="a4"/>
        <w:jc w:val="both"/>
        <w:rPr>
          <w:sz w:val="30"/>
        </w:rPr>
      </w:pPr>
    </w:p>
    <w:p w:rsidR="003A4A27" w:rsidRPr="005C7BAD" w:rsidRDefault="003A4A27" w:rsidP="005C7BAD"/>
    <w:sectPr w:rsidR="003A4A27" w:rsidRPr="005C7BAD" w:rsidSect="00A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A0"/>
    <w:rsid w:val="00061100"/>
    <w:rsid w:val="003254A0"/>
    <w:rsid w:val="003A4A27"/>
    <w:rsid w:val="004E560E"/>
    <w:rsid w:val="005C7BAD"/>
    <w:rsid w:val="00636240"/>
    <w:rsid w:val="00A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325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Body Text Indent"/>
    <w:aliases w:val="Знак"/>
    <w:basedOn w:val="a"/>
    <w:link w:val="a5"/>
    <w:rsid w:val="003254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3254A0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2022-04-20T12:12:00Z</dcterms:created>
  <dcterms:modified xsi:type="dcterms:W3CDTF">2022-04-20T12:12:00Z</dcterms:modified>
</cp:coreProperties>
</file>