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38" w:rsidRDefault="006B6138" w:rsidP="006B6138">
      <w:pPr>
        <w:shd w:val="clear" w:color="auto" w:fill="FFFFFF"/>
        <w:spacing w:after="0" w:line="240" w:lineRule="auto"/>
        <w:ind w:left="-284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4"/>
          <w:szCs w:val="44"/>
          <w:lang w:eastAsia="ru-RU"/>
        </w:rPr>
      </w:pPr>
      <w:r w:rsidRPr="006B6138">
        <w:rPr>
          <w:rFonts w:ascii="Times New Roman" w:eastAsia="Times New Roman" w:hAnsi="Times New Roman" w:cs="Times New Roman"/>
          <w:b/>
          <w:bCs/>
          <w:color w:val="282828"/>
          <w:sz w:val="44"/>
          <w:szCs w:val="44"/>
          <w:lang w:eastAsia="ru-RU"/>
        </w:rPr>
        <w:t>Об изменениях Правил охоты и Правил ведения охотничьего хозяйства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4"/>
          <w:szCs w:val="44"/>
          <w:lang w:eastAsia="ru-RU"/>
        </w:rPr>
      </w:pPr>
    </w:p>
    <w:p w:rsidR="006B6138" w:rsidRDefault="006B6138" w:rsidP="006B6138">
      <w:pPr>
        <w:shd w:val="clear" w:color="auto" w:fill="FFFFFF"/>
        <w:spacing w:after="0" w:line="240" w:lineRule="auto"/>
        <w:ind w:left="-284" w:firstLine="568"/>
        <w:outlineLvl w:val="1"/>
        <w:rPr>
          <w:rFonts w:ascii="Times New Roman" w:hAnsi="Times New Roman" w:cs="Times New Roman"/>
          <w:b/>
          <w:bCs/>
          <w:i/>
          <w:iCs/>
          <w:color w:val="EE1D24"/>
          <w:sz w:val="36"/>
          <w:szCs w:val="36"/>
          <w:shd w:val="clear" w:color="auto" w:fill="FFFFFF"/>
        </w:rPr>
      </w:pPr>
      <w:r w:rsidRPr="006B6138">
        <w:rPr>
          <w:rFonts w:ascii="Times New Roman" w:hAnsi="Times New Roman" w:cs="Times New Roman"/>
          <w:b/>
          <w:bCs/>
          <w:i/>
          <w:iCs/>
          <w:color w:val="EE1D24"/>
          <w:sz w:val="36"/>
          <w:szCs w:val="36"/>
          <w:shd w:val="clear" w:color="auto" w:fill="FFFFFF"/>
        </w:rPr>
        <w:t>Изменения законодательства, предусмотренные Указом Президента Республики Беларусь от 18.11.2024 № 420 вступят в силу </w:t>
      </w:r>
      <w:r w:rsidRPr="006B6138">
        <w:rPr>
          <w:rFonts w:ascii="Times New Roman" w:hAnsi="Times New Roman" w:cs="Times New Roman"/>
          <w:b/>
          <w:bCs/>
          <w:i/>
          <w:iCs/>
          <w:color w:val="EE1D24"/>
          <w:sz w:val="36"/>
          <w:szCs w:val="36"/>
          <w:u w:val="single"/>
          <w:shd w:val="clear" w:color="auto" w:fill="FFFFFF"/>
        </w:rPr>
        <w:t>с 21.05.2025</w:t>
      </w:r>
      <w:r w:rsidRPr="006B6138">
        <w:rPr>
          <w:rFonts w:ascii="Times New Roman" w:hAnsi="Times New Roman" w:cs="Times New Roman"/>
          <w:b/>
          <w:bCs/>
          <w:i/>
          <w:iCs/>
          <w:color w:val="EE1D24"/>
          <w:sz w:val="36"/>
          <w:szCs w:val="36"/>
          <w:shd w:val="clear" w:color="auto" w:fill="FFFFFF"/>
        </w:rPr>
        <w:t>.</w:t>
      </w:r>
    </w:p>
    <w:p w:rsidR="006B6138" w:rsidRDefault="006B6138" w:rsidP="006B6138">
      <w:pPr>
        <w:shd w:val="clear" w:color="auto" w:fill="FFFFFF"/>
        <w:spacing w:after="0" w:line="240" w:lineRule="auto"/>
        <w:ind w:left="-284" w:firstLine="568"/>
        <w:outlineLvl w:val="1"/>
        <w:rPr>
          <w:rFonts w:ascii="Times New Roman" w:hAnsi="Times New Roman" w:cs="Times New Roman"/>
          <w:b/>
          <w:bCs/>
          <w:i/>
          <w:iCs/>
          <w:color w:val="EE1D24"/>
          <w:sz w:val="36"/>
          <w:szCs w:val="36"/>
          <w:shd w:val="clear" w:color="auto" w:fill="FFFFFF"/>
        </w:rPr>
      </w:pP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ноября 2024 года Главой государства подписан Указ № 420 «Об изменении Указа Президента Республики Беларусь», которым внесены изменения в Правила охоты и Правила ведения охотничьего хозяйства, утвержденные Указом Президента Республики Беларусь от 21.03.2018 № 112 «Об охоте и ведении охотничьего хозяйства».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на следующие основные изменения, предусмотренные Указом Президента Республики Беларусь от 18.11.2024 № 420.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охоты дополнены определениями понятий – «добор подранка» и «подранок», отдельные определения уточнены.</w:t>
      </w:r>
    </w:p>
    <w:p w:rsid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охотничьих животных нормируемых видов (приложение 2 к Правилам охоты) дополнен медведем и рысью. При этом, предусмотрен особый порядок их добычи – путем организации охоты в соответствии с Правилами охоты и на основании планов управления популяциями соответствующих видов. Правила охоты и Правила ведения охотничьего хозяйства дополнены нормами, регламентирующими организацию и проведение охоты на медведя и рысь, в том числе определены разрешенные сроки, способы и орудия охоты, а также требования в части половозрастных признаков данных животных и особых условий добора подранков.</w:t>
      </w:r>
    </w:p>
    <w:p w:rsid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138" w:rsidRPr="006B6138" w:rsidRDefault="006B6138" w:rsidP="006B613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5BE043" wp14:editId="6FB73A36">
            <wp:extent cx="5940425" cy="3343275"/>
            <wp:effectExtent l="0" t="0" r="3175" b="9525"/>
            <wp:docPr id="1" name="Рисунок 1" descr="C:\Users\User\AppData\Local\Microsoft\Windows\INetCache\Content.Word\scale_24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cale_2400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установлено, что планирование изъятия медведя и рыси осуществляется на основании планов управления популяциями данных видов,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охотоустроительной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и в порядке, определяемом Министерством лесного хозяйства Республики Беларусь (далее –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Минлесхоз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Министерство природных ресурсов и охраны окружающей среды Республики Беларусь обеспечивает разработку и утверждение планов управления популяциями медведя и рыси. 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медведю и рыси придается так называемый «бинарный статус» – являются дикими животными, отнесенными к видам, включенным в Красную книгу Республики Беларусь и, одновременно, – охотничьими животными при необходимости регулирования численности (по территориальному принципу) в соответствии с планами управления их популяциями. Аналогичный подходы давно применяется в Республике Беларусь в отношении зубра (основной генофонд –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краснокнижник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резервный генофонд – охотничьи животные).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приложении 3 к Правилам охоты упраздняются требования в отношении нарезного охотничьего оружия (дульной энергии пули), а также исключается перечень калибров (патронов) указанного выше оружия. При этом, Правилами охоты определено, что перечень патронов (калибров) нарезного охотничьего оружия, разрешенных для добычи охотничьих животных в зависимости от вида и (или) возраста, определяется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Минлесхозом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 пункта 53 Правил охоты исключены требования в части срока действия государственной пошлины за предоставление права на охоту, в связи с тем, что данные требования содержатся в Налоговом кодексе Республики Беларусь.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6B6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 соответствии с подпунктом 4.4 пункта 4 статьи 287 Налогового кодекса Республики Беларусь, государственная пошлина уплачивается по ставке и (или) исходя из размера базовой величины, установленных на дату уплаты - за предоставление права на охоту. Государственная пошлина, уплаченная за предоставление права на охоту по установленной ставке, подтверждает право на охоту в течение двенадцати месяцев со дня ее уплаты, а уплаченная по установленной ставке с применением повышающего коэффициента, установленного пунктом 3 статьи 286 настоящего Кодекса, подтверждает право на охоту в течение шестидесяти месяцев со дня ее уплаты.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Согласно новой редакции пункта 81 Правил охоты, расширен перечень раненых, травмированных, больных или погибших диких животных, при обнаружении которых оформляются соответствующие акты по форме, установленной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Минлесхозом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перечень дополнен медведем, рысью (нормируемые виды охотничьих животных), зубром основного генофонда и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тарпановидной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лошадью. Соответственно, Государственная инспекция будет осуществлять регистрацию сообщений о фактах ДТП в том числе с участием указанных выше животных.</w:t>
      </w:r>
    </w:p>
    <w:p w:rsidR="006B6138" w:rsidRPr="006B6138" w:rsidRDefault="006B6138" w:rsidP="006B6138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акты об обнаружении в фонде запаса охотничьих угодий либо на территориях, не включенных в фонд охотничьих угодий, раненых, травмированных, больных или погибших охотничьих животных нормируемых видов, зубра (основной генофонд) и </w:t>
      </w:r>
      <w:proofErr w:type="spellStart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тарпановидной</w:t>
      </w:r>
      <w:proofErr w:type="spellEnd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лошади могут составлять должностные лица, </w:t>
      </w:r>
      <w:bookmarkStart w:id="0" w:name="_GoBack"/>
      <w:bookmarkEnd w:id="0"/>
      <w:r w:rsidRPr="006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местными исполнительными и распорядительными органами (в действующей редакции – уполномоченные должностные лица местного исполнительного и распорядительного органа).</w:t>
      </w:r>
    </w:p>
    <w:p w:rsidR="00A967FD" w:rsidRPr="006B6138" w:rsidRDefault="00A967FD" w:rsidP="006B6138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R="00A967FD" w:rsidRPr="006B6138" w:rsidSect="004C7A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41"/>
    <w:rsid w:val="00440641"/>
    <w:rsid w:val="004C7AD7"/>
    <w:rsid w:val="006B6138"/>
    <w:rsid w:val="00A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DB7F"/>
  <w15:chartTrackingRefBased/>
  <w15:docId w15:val="{EFE23773-560C-41C4-AFE6-848BA56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2024-11-25T07:16:00Z</dcterms:created>
  <dcterms:modified xsi:type="dcterms:W3CDTF">2024-11-25T07:21:00Z</dcterms:modified>
</cp:coreProperties>
</file>