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31 января 2008 г. </w:t>
      </w:r>
      <w:r w:rsidR="00682F16">
        <w:rPr>
          <w:rFonts w:ascii="Times New Roman" w:hAnsi="Times New Roman" w:cs="Times New Roman"/>
          <w:sz w:val="30"/>
          <w:szCs w:val="30"/>
        </w:rPr>
        <w:t>№</w:t>
      </w:r>
      <w:r w:rsidRPr="00473316">
        <w:rPr>
          <w:rFonts w:ascii="Times New Roman" w:hAnsi="Times New Roman" w:cs="Times New Roman"/>
          <w:sz w:val="30"/>
          <w:szCs w:val="30"/>
        </w:rPr>
        <w:t xml:space="preserve"> 19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682F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О </w:t>
      </w:r>
      <w:r w:rsidR="00682F16" w:rsidRPr="00473316">
        <w:rPr>
          <w:rFonts w:ascii="Times New Roman" w:hAnsi="Times New Roman" w:cs="Times New Roman"/>
          <w:sz w:val="30"/>
          <w:szCs w:val="30"/>
        </w:rPr>
        <w:t xml:space="preserve">сроках эксплуатации технических средств социальной реабилитации и признании утратившими силу постановлений </w:t>
      </w:r>
      <w:r w:rsidR="00682F16">
        <w:rPr>
          <w:rFonts w:ascii="Times New Roman" w:hAnsi="Times New Roman" w:cs="Times New Roman"/>
          <w:sz w:val="30"/>
          <w:szCs w:val="30"/>
        </w:rPr>
        <w:t>М</w:t>
      </w:r>
      <w:r w:rsidR="00682F16" w:rsidRPr="00473316">
        <w:rPr>
          <w:rFonts w:ascii="Times New Roman" w:hAnsi="Times New Roman" w:cs="Times New Roman"/>
          <w:sz w:val="30"/>
          <w:szCs w:val="30"/>
        </w:rPr>
        <w:t xml:space="preserve">инистерства труда и социальной защиты Республики Беларусь от 21 марта 2002 г. </w:t>
      </w:r>
      <w:r w:rsidR="00682F16">
        <w:rPr>
          <w:rFonts w:ascii="Times New Roman" w:hAnsi="Times New Roman" w:cs="Times New Roman"/>
          <w:sz w:val="30"/>
          <w:szCs w:val="30"/>
        </w:rPr>
        <w:t>№</w:t>
      </w:r>
      <w:r w:rsidR="00682F16" w:rsidRPr="00473316">
        <w:rPr>
          <w:rFonts w:ascii="Times New Roman" w:hAnsi="Times New Roman" w:cs="Times New Roman"/>
          <w:sz w:val="30"/>
          <w:szCs w:val="30"/>
        </w:rPr>
        <w:t xml:space="preserve"> 36 </w:t>
      </w:r>
    </w:p>
    <w:p w:rsidR="00473316" w:rsidRPr="00473316" w:rsidRDefault="00682F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и от 14 ноября 2003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473316">
        <w:rPr>
          <w:rFonts w:ascii="Times New Roman" w:hAnsi="Times New Roman" w:cs="Times New Roman"/>
          <w:sz w:val="30"/>
          <w:szCs w:val="30"/>
        </w:rPr>
        <w:t xml:space="preserve"> 142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73316" w:rsidRPr="00473316" w:rsidRDefault="00473316" w:rsidP="004733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hyperlink r:id="rId6" w:history="1">
        <w:r w:rsidRPr="00473316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11 декабря 2007 г. N 1722 "О Государственном реестре (перечне) технических средств социальной реабилитации и порядке обеспечения ими отдельных категорий граждан" Министерство труда и социальной защиты Республики Беларусь ПОСТАНОВЛЯЕТ: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ar20" w:history="1">
        <w:r w:rsidRPr="00473316">
          <w:rPr>
            <w:rFonts w:ascii="Times New Roman" w:hAnsi="Times New Roman" w:cs="Times New Roman"/>
            <w:sz w:val="30"/>
            <w:szCs w:val="30"/>
          </w:rPr>
          <w:t>сроки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эксплуатации технических средств социальной реабилитации, указанных в </w:t>
      </w:r>
      <w:hyperlink r:id="rId7" w:history="1">
        <w:r w:rsidRPr="00473316">
          <w:rPr>
            <w:rFonts w:ascii="Times New Roman" w:hAnsi="Times New Roman" w:cs="Times New Roman"/>
            <w:sz w:val="30"/>
            <w:szCs w:val="30"/>
          </w:rPr>
          <w:t>пунктах 1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- </w:t>
      </w:r>
      <w:hyperlink r:id="rId8" w:history="1">
        <w:r w:rsidRPr="00473316">
          <w:rPr>
            <w:rFonts w:ascii="Times New Roman" w:hAnsi="Times New Roman" w:cs="Times New Roman"/>
            <w:sz w:val="30"/>
            <w:szCs w:val="30"/>
          </w:rPr>
          <w:t>45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473316">
          <w:rPr>
            <w:rFonts w:ascii="Times New Roman" w:hAnsi="Times New Roman" w:cs="Times New Roman"/>
            <w:sz w:val="30"/>
            <w:szCs w:val="30"/>
          </w:rPr>
          <w:t>57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- </w:t>
      </w:r>
      <w:hyperlink r:id="rId10" w:history="1">
        <w:r w:rsidRPr="00473316">
          <w:rPr>
            <w:rFonts w:ascii="Times New Roman" w:hAnsi="Times New Roman" w:cs="Times New Roman"/>
            <w:sz w:val="30"/>
            <w:szCs w:val="30"/>
          </w:rPr>
          <w:t>60</w:t>
        </w:r>
      </w:hyperlink>
      <w:r w:rsidRPr="00473316">
        <w:rPr>
          <w:rFonts w:ascii="Times New Roman" w:hAnsi="Times New Roman" w:cs="Times New Roman"/>
          <w:sz w:val="30"/>
          <w:szCs w:val="30"/>
        </w:rPr>
        <w:t xml:space="preserve"> Государственного реестра (перечня) технических средств социальной реабилитации, утвержденного постановлением Совета Министров Республики Беларусь от 11 декабря 2007 г. N 1722 (Национальный реестр правовых актов Республики Беларусь, 2008 г., N 1, 5/26402), согласно приложению.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2. Признать утратившими силу:</w:t>
      </w:r>
    </w:p>
    <w:p w:rsidR="00473316" w:rsidRPr="00473316" w:rsidRDefault="00005ABE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473316" w:rsidRPr="00473316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473316" w:rsidRPr="00473316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Республики Беларусь от 21 марта 2002 г. N 36 "Об утверждении Инструкции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Беларусь" (Национальный реестр правовых актов Республики Беларусь, 2002 г., N 47, 8/7968);</w:t>
      </w:r>
    </w:p>
    <w:p w:rsidR="00473316" w:rsidRPr="00473316" w:rsidRDefault="00005ABE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12" w:history="1">
        <w:r w:rsidR="00473316" w:rsidRPr="00473316">
          <w:rPr>
            <w:rFonts w:ascii="Times New Roman" w:hAnsi="Times New Roman" w:cs="Times New Roman"/>
            <w:sz w:val="30"/>
            <w:szCs w:val="30"/>
          </w:rPr>
          <w:t>постановление</w:t>
        </w:r>
      </w:hyperlink>
      <w:r w:rsidR="00473316" w:rsidRPr="00473316">
        <w:rPr>
          <w:rFonts w:ascii="Times New Roman" w:hAnsi="Times New Roman" w:cs="Times New Roman"/>
          <w:sz w:val="30"/>
          <w:szCs w:val="30"/>
        </w:rPr>
        <w:t xml:space="preserve"> Министерства труда и социальной защиты Республики Беларусь от 14 ноября 2003 г. N 142 "О внесении изменений и дополнений в Инструкцию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Беларусь" (Национальный реестр правовых актов Республики Беларусь, 2003 г., N 135, 8/10266).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3. Настоящее постановление вступает в силу со дня его официального опубликования.</w:t>
      </w:r>
    </w:p>
    <w:p w:rsidR="00473316" w:rsidRPr="00473316" w:rsidRDefault="00473316" w:rsidP="0047331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473316" w:rsidRPr="00473316">
        <w:tc>
          <w:tcPr>
            <w:tcW w:w="5103" w:type="dxa"/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73316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5103" w:type="dxa"/>
          </w:tcPr>
          <w:p w:rsidR="00473316" w:rsidRPr="00473316" w:rsidRDefault="004733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73316">
              <w:rPr>
                <w:rFonts w:ascii="Times New Roman" w:hAnsi="Times New Roman" w:cs="Times New Roman"/>
                <w:sz w:val="30"/>
                <w:szCs w:val="30"/>
              </w:rPr>
              <w:t>В.Н.Потупчик</w:t>
            </w:r>
          </w:p>
        </w:tc>
      </w:tr>
    </w:tbl>
    <w:p w:rsidR="00473316" w:rsidRPr="00473316" w:rsidRDefault="00473316" w:rsidP="00473316">
      <w:pPr>
        <w:autoSpaceDE w:val="0"/>
        <w:autoSpaceDN w:val="0"/>
        <w:adjustRightInd w:val="0"/>
        <w:spacing w:before="200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Министерства труда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и социальной защиты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  <w:r w:rsidRPr="00473316">
        <w:rPr>
          <w:rFonts w:ascii="Times New Roman" w:hAnsi="Times New Roman" w:cs="Times New Roman"/>
          <w:sz w:val="30"/>
          <w:szCs w:val="30"/>
        </w:rPr>
        <w:t>31.01.2008 N 19</w:t>
      </w:r>
    </w:p>
    <w:p w:rsidR="00473316" w:rsidRPr="00473316" w:rsidRDefault="00473316" w:rsidP="004733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0"/>
          <w:szCs w:val="30"/>
        </w:rPr>
      </w:pP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ar20"/>
      <w:bookmarkEnd w:id="1"/>
      <w:r w:rsidRPr="00473316">
        <w:rPr>
          <w:rFonts w:ascii="Times New Roman" w:hAnsi="Times New Roman" w:cs="Times New Roman"/>
          <w:sz w:val="30"/>
          <w:szCs w:val="30"/>
        </w:rPr>
        <w:t>СРОКИ ЭКСПЛУАТАЦИИ ТЕХНИЧЕСКИХ СРЕДСТВ СОЦИАЛЬНОЙ РЕАБИЛИТАЦИИ, УКАЗАННЫХ В ПУНКТАХ 1 - 45, 57 - 60 ГОСУДАРСТВЕННОГО РЕЕСТРА (ПЕРЕЧНЯ) ТЕХНИЧЕСКИХ СРЕДСТВ СОЦИАЛЬНОЙ РЕАБИЛИТАЦИИ</w:t>
      </w:r>
    </w:p>
    <w:p w:rsidR="00473316" w:rsidRPr="00473316" w:rsidRDefault="00473316" w:rsidP="004733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4875"/>
        <w:gridCol w:w="2267"/>
      </w:tblGrid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Номер пункта Государственного реестра (перечня) технических средств социальной реабилитации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средства социальной реабилитации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Сроки эксплуатации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25"/>
            <w:bookmarkEnd w:id="2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Кресло-коляска комнатная, в том числе с судном или откидной спинкой, для взрослых, подростков и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31"/>
            <w:bookmarkEnd w:id="3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Кресло-коляска прогулочная для взрослых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Велоколяска с цепным приводом прогулочная для взрослых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Велоколяска рычажная прогулочная для взрослых, подростков и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Коляска прогулочная для детей, страдающих детским церебральным параличом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43"/>
            <w:bookmarkEnd w:id="4"/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Кресло-коляска активного типа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Малогабаритная коляска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Кресло функциональное с судном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 трехколесный для детей в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до 16 лет, страдающих детским церебральным параличом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Подушка противопролежневая для сидения в инвалидной коляске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Чехол утепленный для передвижения в коляске в холодное время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На срок эксплуатации технических средств социальной реабилитации, указанных в </w:t>
            </w:r>
            <w:hyperlink w:anchor="Par25" w:history="1">
              <w:r w:rsidRPr="00473316">
                <w:rPr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ar31" w:history="1">
              <w:r w:rsidRPr="00473316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43" w:history="1">
              <w:r w:rsidRPr="00473316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приложения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Защита специальная для рук, используемая инвалидами при передвижении в коляске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6 месяцев (допускается одновременно выдача 2 пар в год)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Трость опорная для передвижения больных с нарушениями функций нижних конечностей (одно-, трех- и четырехопорная)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Трость тактильная для слепых и слабовидящих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Костыли индивидуального пользования, в том числе костыли локтевые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Ходунки специальные для передвижения больных с нарушениями функций нижних конечностей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Столик специальный для установки на инвалидную коляску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Стул для детей со спинно-мозговой патологией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Приспособления для удержания в стоячем и (или) в сидячем положении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со спинно-мозговой патологией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Матрац специальный противопролежневый или система противопролежневая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Перекладина подъемная к кровати (рама "Балканская")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Столик прикроватный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Поручни для туалета, ванной и душевой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кроватное опорное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Приставка к унитазу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Сиденье для ванны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для туалета для взрослых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для туалета для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Протезы верхних и нижних конечностей (основной, лечебно-тренировочный, рабочий, для купания), кисть косметическая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Протезы верхних и нижних конечностей: для взрослых: основной - 2 года, рабочий и для купания - 3 года, лечебно-тренировочный - по заключению врачей республиканского унитарного предприятия "Белорусский протезно-ортопедический восстановительный центр" (далее - БПОВЦ) и его филиалов, но не менее 6 месяцев;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детей-инвалидов в возрасте до 18 лет - по заключению врачей БПОВЦ и его филиалов; парные протезы - по заключению врачей БПОВЦ и его филиалов, но не менее 1 года. Кисть косметическая - 6 месяцев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Ортезы верхних и нижних конечностей (аппараты, туторы, обувные вставки, сапожки Дикуля и другие изделия, кроме стелек-супинаторов, стелек ортопедических)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- 2 года; для детей в возрасте до 18 лет, не признанных инвалидами, но нуждающихся по медицинским показаниям в технических средствах социальной реабилитации (далее - дети в возрасте до 18 лет) - 1 год; для детей-инвалидов в возрасте до 18 лет - по заключению врачей БПОВЦ и его филиалов; парные аппараты - по заключению врачей БПОВЦ и его филиалов, но не менее 1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Ортезы на позвоночник (корсеты,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реклинаторы, пояса радикулитные и другие изделия)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взрослых - 2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года; для детей в возрасте до 18 лет - 1 год; для детей-инвалидов в возрасте до 18 лет - по заключению врачей БПОВЦ и его филиалов; из текстильных материалов - 1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Протезы молочной железы с лифами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Протез - 1 год, лифы - 6 месяцев (допускается одновременно выдача 2 лифов)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Изделия для консервативного лечения приобретенных и врожденных деформаций у детей (абдукционные трусики, распорки, шины и другие изделия)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детей-инвалидов в возрасте до 18 лет - по заключению врачей БПОВЦ и его филиалов; для детей в возрасте до 18 лет - 1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Спецрукавицы (спецперчатки)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 xml:space="preserve">1 пара в календарном году; детям-инвалидам в возрасте до 18 лет - по заключению врачебно-консультационной комиссии государственной организации здравоохранения </w:t>
            </w: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роста ребенка-инвалида, но не более двух раз в календарном году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Изделия бандажные (бандажи - лечебный, почечный, для больных с искусственным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- 1 год; для детей-инвалидов в возрасте до 18 лет - по заключению врачей БПОВЦ и его филиалов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Изделия ортопедические (обтураторы, сиденье кожаное, подколенник кожаный, спецбрюки при парной ампутации нижних конечностей, чулки-ползунки, приспособление для поддержания нижней конечности, суспензорий)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- 1 год; для детей-инвалидов в возрасте до 18 лет - по заключению врачей БПОВЦ и его филиалов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Диктофон (плеер)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Сотовые телефоны, в том числе с программным обеспечением, синтезирующим речь, и (или) с функцией навигации (смартфоны)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Устройство для прослушивания озвученной литературы (плеер)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Часы с синтезатором речи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Телефон с усилителем звука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Световой будильник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Сигнализатор цифровой с вибрационной и световой индикацией для граждан с нарушением органов слуха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875" w:type="dxa"/>
            <w:tcBorders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Приспособление для купания детей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детей-инвалидов в возрасте до 12 лет - 2 года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Приспособления для одевания, раздевания и захвата предметов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Купальник (купальный костюм) для крепления протеза молочной железы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73316" w:rsidRPr="00473316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Ступеньки к ванне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16" w:rsidRPr="00473316" w:rsidRDefault="0047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3316">
              <w:rPr>
                <w:rFonts w:ascii="Times New Roman" w:hAnsi="Times New Roman" w:cs="Times New Roman"/>
                <w:sz w:val="28"/>
                <w:szCs w:val="28"/>
              </w:rPr>
              <w:t>Для взрослых и детей-инвалидов в возрасте с 10 до 18 лет - 5 лет</w:t>
            </w:r>
          </w:p>
        </w:tc>
      </w:tr>
    </w:tbl>
    <w:p w:rsidR="00473316" w:rsidRPr="00473316" w:rsidRDefault="00473316" w:rsidP="0047331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473316" w:rsidRPr="00473316" w:rsidSect="005D6B9C">
      <w:headerReference w:type="default" r:id="rId13"/>
      <w:pgSz w:w="11906" w:h="16838"/>
      <w:pgMar w:top="851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3A6" w:rsidRDefault="006403A6" w:rsidP="005D6B9C">
      <w:r>
        <w:separator/>
      </w:r>
    </w:p>
  </w:endnote>
  <w:endnote w:type="continuationSeparator" w:id="1">
    <w:p w:rsidR="006403A6" w:rsidRDefault="006403A6" w:rsidP="005D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3A6" w:rsidRDefault="006403A6" w:rsidP="005D6B9C">
      <w:r>
        <w:separator/>
      </w:r>
    </w:p>
  </w:footnote>
  <w:footnote w:type="continuationSeparator" w:id="1">
    <w:p w:rsidR="006403A6" w:rsidRDefault="006403A6" w:rsidP="005D6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693547"/>
      <w:docPartObj>
        <w:docPartGallery w:val="Page Numbers (Top of Page)"/>
        <w:docPartUnique/>
      </w:docPartObj>
    </w:sdtPr>
    <w:sdtContent>
      <w:p w:rsidR="005D6B9C" w:rsidRDefault="00005ABE">
        <w:pPr>
          <w:pStyle w:val="a3"/>
          <w:jc w:val="center"/>
        </w:pPr>
        <w:r>
          <w:fldChar w:fldCharType="begin"/>
        </w:r>
        <w:r w:rsidR="005D6B9C">
          <w:instrText>PAGE   \* MERGEFORMAT</w:instrText>
        </w:r>
        <w:r>
          <w:fldChar w:fldCharType="separate"/>
        </w:r>
        <w:r w:rsidR="004C4A25">
          <w:rPr>
            <w:noProof/>
          </w:rPr>
          <w:t>8</w:t>
        </w:r>
        <w:r>
          <w:fldChar w:fldCharType="end"/>
        </w:r>
      </w:p>
    </w:sdtContent>
  </w:sdt>
  <w:p w:rsidR="005D6B9C" w:rsidRDefault="005D6B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316"/>
    <w:rsid w:val="00005ABE"/>
    <w:rsid w:val="0011392B"/>
    <w:rsid w:val="00185DF0"/>
    <w:rsid w:val="00283A2E"/>
    <w:rsid w:val="00413727"/>
    <w:rsid w:val="00473316"/>
    <w:rsid w:val="004912BD"/>
    <w:rsid w:val="004C4A25"/>
    <w:rsid w:val="005D6B9C"/>
    <w:rsid w:val="006403A6"/>
    <w:rsid w:val="00682F16"/>
    <w:rsid w:val="006B0926"/>
    <w:rsid w:val="00B61CDF"/>
    <w:rsid w:val="00C63DAC"/>
    <w:rsid w:val="00F4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B9C"/>
  </w:style>
  <w:style w:type="paragraph" w:styleId="a5">
    <w:name w:val="footer"/>
    <w:basedOn w:val="a"/>
    <w:link w:val="a6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B9C"/>
  </w:style>
  <w:style w:type="paragraph" w:styleId="a5">
    <w:name w:val="footer"/>
    <w:basedOn w:val="a"/>
    <w:link w:val="a6"/>
    <w:uiPriority w:val="99"/>
    <w:unhideWhenUsed/>
    <w:rsid w:val="005D6B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6799EA63508BCDC5C518E0274DC42B632EC20BF8FF595FC258EF0B606DC2FBA2C6FA692CBF98AC5B669A8EAC69DDB32B8BAE5BF1C4AADCAADF6FCB9B6n7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B6799EA63508BCDC5C518E0274DC42B632EC20BF8FF595FC258EF0B606DC2FBA2C6FA692CBF98AC5B669AEE3C19DDB32B8BAE5BF1C4AADCAADF6FCB9B6n7F" TargetMode="External"/><Relationship Id="rId12" Type="http://schemas.openxmlformats.org/officeDocument/2006/relationships/hyperlink" Target="consultantplus://offline/ref=D7B6799EA63508BCDC5C518E0274DC42B632EC20BF8AF996FB2380ADBC0E8523B82B60F997CCE88AC6B477ADECDD948F61BFnDF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799EA63508BCDC5C518E0274DC42B632EC20BF89F79AFD2280ADBC0E8523B82B60F985CCB086C4B669A4ECC8C2DE27A9E2EABF0054AAD3B1F4FEBBnAF" TargetMode="External"/><Relationship Id="rId11" Type="http://schemas.openxmlformats.org/officeDocument/2006/relationships/hyperlink" Target="consultantplus://offline/ref=D7B6799EA63508BCDC5C518E0274DC42B632EC20BF8CF094F12380ADBC0E8523B82B60F997CCE88AC6B477ADECDD948F61BFn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B6799EA63508BCDC5C518E0274DC42B632EC20BF8FF595FC258EF0B606DC2FBA2C6FA692CBF98AC5B669A8EACA9DDB32B8BAE5BF1C4AADCAADF6FCB9B6n7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7B6799EA63508BCDC5C518E0274DC42B632EC20BF8FF595FC258EF0B606DC2FBA2C6FA692CBF98AC5B669A8EAC59DDB32B8BAE5BF1C4AADCAADF6FCB9B6n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Фабрикова Юлия Владимировна</dc:creator>
  <cp:lastModifiedBy>Пользователь</cp:lastModifiedBy>
  <cp:revision>2</cp:revision>
  <dcterms:created xsi:type="dcterms:W3CDTF">2023-07-27T07:06:00Z</dcterms:created>
  <dcterms:modified xsi:type="dcterms:W3CDTF">2023-07-27T07:06:00Z</dcterms:modified>
</cp:coreProperties>
</file>