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206" w:rsidRPr="00001206" w:rsidRDefault="00611112" w:rsidP="00001206">
      <w:pPr>
        <w:shd w:val="clear" w:color="auto" w:fill="FFFFFF"/>
        <w:spacing w:after="0" w:line="276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  <w:t>ЛЕПЕЛЬСКАЯ МЕЖРАЙОННАЯ ИНСПЕКЦИЯ ОХРАНЫ ЖИВОТНОГО И РАСТИТЕЛЬНОГО МИРА НАПОМИНАЕТ</w:t>
      </w:r>
      <w:r w:rsidRPr="00001206"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eastAsia="ru-RU"/>
        </w:rPr>
        <w:t xml:space="preserve"> О СОБЛЮДЕНИИ ТРЕБОВАНИЙ БЕЗОПАСНОСТИ НА ОХОТЕ</w:t>
      </w: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несчастные случаи на охоте систематически происходят в процессе е</w:t>
      </w:r>
      <w:r w:rsidR="00F4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проведения ружейным способом, но их </w:t>
      </w:r>
      <w:proofErr w:type="gramStart"/>
      <w:r w:rsidR="00F4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избежать</w:t>
      </w:r>
      <w:proofErr w:type="gramEnd"/>
      <w:r w:rsidR="00F4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соблюдая </w:t>
      </w: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участниками охоты элементарных требований ее безопасности. Основные причины несчастных случаев при проведении охот это стрельба вдоль стрелковой линии или за пределами своего сектора, самовольный сход с номера, стрельба на шум, шорох, по неясно видимой цели, небрежное обращение с огнестрельным охотничьим оружием.</w:t>
      </w: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55EF" w:rsidRDefault="00F40849" w:rsidP="0061111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pt;height:274.75pt">
            <v:imagedata r:id="rId4" o:title="87d7zzdoqryhp20nksc0iiukzyjyyw6w"/>
          </v:shape>
        </w:pict>
      </w:r>
    </w:p>
    <w:p w:rsidR="00001206" w:rsidRPr="00001206" w:rsidRDefault="00001206" w:rsidP="0000120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Напоминаем, что Правилами безопасности охоты </w:t>
      </w:r>
      <w:r w:rsidRPr="0000120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запрещается</w:t>
      </w:r>
      <w:r w:rsidRPr="000012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посадку в транспортное средство и высадку из него с заряженным охотничьим оружием;</w:t>
      </w: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доставать собранное охотничье оружие за ствол (стволы) из транспортного средства;</w:t>
      </w:r>
    </w:p>
    <w:p w:rsidR="00F40849" w:rsidRDefault="00001206" w:rsidP="00F4084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• производить стрельбу на шум, шорох, по неясно видимой цели, в условиях плохой видимости (в густой туман, в сильный снегопад, против солнца и так далее);</w:t>
      </w:r>
    </w:p>
    <w:p w:rsidR="00001206" w:rsidRPr="00001206" w:rsidRDefault="00001206" w:rsidP="00F40849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производить стрельбу и находиться с заряженным охотничьим оружием на расстоянии менее 200 метров от крайнего строения населенного пункта;</w:t>
      </w: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производить стрельбу в направлении людей, населенных пунктов, сельскохозяйственных или домашних животных (за исключением бродячих </w:t>
      </w: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кошек и беспородных собак),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- менее 2 километров;</w:t>
      </w: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направлять охотничье оружие, в том числе незаряженное, на человека, сельскохозяйственных или домашних животных (за исключением бродячих кошек и беспородных собак) либо места их размещения;</w:t>
      </w: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без необходимости производить выстрел, взводить курок </w:t>
      </w:r>
      <w:proofErr w:type="spellStart"/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внешнекуркового</w:t>
      </w:r>
      <w:proofErr w:type="spellEnd"/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оружия или снимать с предохранителя </w:t>
      </w:r>
      <w:proofErr w:type="spellStart"/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внутрикурковое</w:t>
      </w:r>
      <w:proofErr w:type="spellEnd"/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оружие;</w:t>
      </w:r>
    </w:p>
    <w:p w:rsid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добивать прикладом оружия раненое охотничье животное.</w:t>
      </w:r>
    </w:p>
    <w:p w:rsidR="00001206" w:rsidRPr="00001206" w:rsidRDefault="00001206" w:rsidP="00001206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206" w:rsidRDefault="00F40849" w:rsidP="00611112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87.85pt;height:274.2pt">
            <v:imagedata r:id="rId5" o:title="mvmgpriee5jbicy743upuslwqpfa3nrz (1)"/>
          </v:shape>
        </w:pict>
      </w:r>
    </w:p>
    <w:p w:rsidR="00001206" w:rsidRPr="00001206" w:rsidRDefault="00001206" w:rsidP="0000120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b/>
          <w:bCs/>
          <w:i/>
          <w:iCs/>
          <w:color w:val="000000"/>
          <w:sz w:val="28"/>
          <w:szCs w:val="28"/>
        </w:rPr>
        <w:t>При проведении </w:t>
      </w:r>
      <w:r w:rsidRPr="00001206">
        <w:rPr>
          <w:b/>
          <w:bCs/>
          <w:i/>
          <w:iCs/>
          <w:color w:val="000000"/>
          <w:sz w:val="28"/>
          <w:szCs w:val="28"/>
          <w:u w:val="single"/>
        </w:rPr>
        <w:t>загонной охоты</w:t>
      </w:r>
      <w:r w:rsidRPr="00001206">
        <w:rPr>
          <w:b/>
          <w:bCs/>
          <w:i/>
          <w:iCs/>
          <w:color w:val="000000"/>
          <w:sz w:val="28"/>
          <w:szCs w:val="28"/>
        </w:rPr>
        <w:t> охотникам </w:t>
      </w:r>
      <w:r w:rsidRPr="00001206">
        <w:rPr>
          <w:b/>
          <w:bCs/>
          <w:i/>
          <w:iCs/>
          <w:color w:val="FF0000"/>
          <w:sz w:val="28"/>
          <w:szCs w:val="28"/>
        </w:rPr>
        <w:t>запрещается</w:t>
      </w:r>
      <w:r w:rsidRPr="00001206">
        <w:rPr>
          <w:b/>
          <w:bCs/>
          <w:i/>
          <w:iCs/>
          <w:color w:val="000000"/>
          <w:sz w:val="28"/>
          <w:szCs w:val="28"/>
        </w:rPr>
        <w:t>: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• проводить ее в условиях плохой видимости;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• выходить на середину стрелковой линии, в том числе просеки или дороги, либо на ее сторону, противоположную расположению стрелков (номеров);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• меняться номерами, самостоятельно выбирать места и сходить с номера до окончания загона, кроме случаев, когда охотник должен оказать незамедлительную помощь попавшему в беду другому лицу;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• применять самозарядное оружие с емкостью магазина более чем на 10 патронов, а также патроны к нарезному оружию с оболочечной пулей и к гладкоствольному оружию с круглой пулей;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• осуществлять стрельбу по охотничьему животному вдоль стрелковой линии, за пределами своего сектора, после сигнала об окончании загона.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Выстрелом вдоль стрелковой линии считается выстрел под таким углом к ней, когда снаряд или часть снаряда пролетят на расстоянии ближе 15 метров от соседнего номера.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lastRenderedPageBreak/>
        <w:t>Каждый стрелок, стоящий на номере, должен точно знать расположение соседних номеров и всей стрелковой линии. Соседние стрелки до маскировки на номерах должны показать друг другу места, на которых они стоят.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На охоте загоном заряжать оружие разрешается только на номере. Оружие следует разрядить перед уходом с номера.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Стрельба на охоте загоном производится согласно установленным руководителем охоты требованиям.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color w:val="000000"/>
          <w:sz w:val="28"/>
          <w:szCs w:val="28"/>
        </w:rPr>
        <w:t>Стрельба на охоте загоном производится после выхода охотничьего животного за стрелковую линию. В отдельных случаях, с разрешения руководителя охоты допускается стрельба внутрь и (или) внутри оклада при условии обеспечения безопасности. Ответственность за последствия выстрелов внутрь и (или) внутри оклада несет охотник, производящий выстрел.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b/>
          <w:bCs/>
          <w:color w:val="000000"/>
          <w:sz w:val="28"/>
          <w:szCs w:val="28"/>
        </w:rPr>
        <w:t>Охотник может производить стрельбу, только предварительно убедившись в том, что в направлении выстрела нет людей, сельскохозяйственных или домашних животных.</w:t>
      </w:r>
    </w:p>
    <w:p w:rsidR="00001206" w:rsidRPr="00001206" w:rsidRDefault="00001206" w:rsidP="00001206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01206">
        <w:rPr>
          <w:i/>
          <w:iCs/>
          <w:color w:val="000000"/>
          <w:sz w:val="28"/>
          <w:szCs w:val="28"/>
        </w:rPr>
        <w:t>За нарушение требований Правил безопасности охоты предусмотрена административная ответственность (штраф до 15 базовых величин, а при повторном в течение года нарушении данных правил – штраф от 10 до 30 базовых величин или лишение права охоты).</w:t>
      </w:r>
    </w:p>
    <w:p w:rsidR="00001206" w:rsidRDefault="00001206">
      <w:bookmarkStart w:id="0" w:name="_GoBack"/>
      <w:bookmarkEnd w:id="0"/>
    </w:p>
    <w:sectPr w:rsidR="0000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17"/>
    <w:rsid w:val="00001206"/>
    <w:rsid w:val="00471E17"/>
    <w:rsid w:val="00611112"/>
    <w:rsid w:val="00AE55EF"/>
    <w:rsid w:val="00F4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CB2816"/>
  <w15:chartTrackingRefBased/>
  <w15:docId w15:val="{950DA82F-3ED6-4775-B2B4-30B5F41A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12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2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2023-12-07T09:02:00Z</dcterms:created>
  <dcterms:modified xsi:type="dcterms:W3CDTF">2023-12-07T09:16:00Z</dcterms:modified>
</cp:coreProperties>
</file>