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98641" w14:textId="5945ECF5" w:rsidR="00BF73DD" w:rsidRDefault="00BF73DD">
      <w:r>
        <w:t>Лепельская межрайонная инспекция охраны животного и растительного мира напоминает, что согласно Правил ведения охотничьего хозяйства и охоты:</w:t>
      </w:r>
    </w:p>
    <w:p w14:paraId="01C9BB5F" w14:textId="24904450" w:rsidR="00254DEA" w:rsidRDefault="00BF73DD">
      <w:r w:rsidRPr="00BF73DD">
        <w:t>дробь – метаемый элемент патрона гладкоствольного огнестрельного оружия в виде металлических шариков или элементов иной формы диаметром (размером) до 5 миллиметров включительно;</w:t>
      </w:r>
    </w:p>
    <w:p w14:paraId="4CFC7E8D" w14:textId="1983F9DE" w:rsidR="00BF73DD" w:rsidRDefault="00BF73DD">
      <w:r w:rsidRPr="00BF73DD">
        <w:t>картечь – метаемый элемент патрона гладкоствольного огнестрельного оружия в виде металлических шариков или элементов иной формы диаметром (размером) более 5 миллиметров и не свыше 10,3 миллиметра;</w:t>
      </w:r>
    </w:p>
    <w:p w14:paraId="3A392F30" w14:textId="77777777" w:rsidR="00BF73DD" w:rsidRPr="00BF73DD" w:rsidRDefault="00BF73DD" w:rsidP="00BF73DD">
      <w:r w:rsidRPr="00BF73DD">
        <w:t>пуля – метаемый элемент патрона нарезного огнестрельного оружия, а для гладкоствольного огнестрельного оружия – метаемый элемент патрона в виде металлического шарика (шариков) или</w:t>
      </w:r>
      <w:r>
        <w:t xml:space="preserve"> </w:t>
      </w:r>
      <w:bookmarkStart w:id="0" w:name="_Hlk48121781"/>
      <w:r w:rsidRPr="00BF73DD">
        <w:t>элемента (элементов) иной формы диаметром (размером) более 10,3 миллиметра;</w:t>
      </w:r>
      <w:bookmarkEnd w:id="0"/>
    </w:p>
    <w:p w14:paraId="36883481" w14:textId="3ED40B65" w:rsidR="00BF73DD" w:rsidRDefault="00BF73DD" w:rsidP="00BF73DD"/>
    <w:p w14:paraId="1AFE3C2C" w14:textId="5E3F1EA9" w:rsidR="00BF73DD" w:rsidRPr="00BF73DD" w:rsidRDefault="00BF73DD" w:rsidP="00BF73DD">
      <w:r w:rsidRPr="00BF73DD">
        <w:t xml:space="preserve"> Так же напоминаем, что ношение в охотничьих угодьях при осуществлении охоты на животных ненормируемых видов патронов снаряженных пулей и картечью, когда ношение таких патронов запрещено, за исключением случаев когда оружие заряжено данными патронами  влечет наложение штрафа от 3-х до 15-ти базовых величин. Если оружие заряжено вышеуказанными </w:t>
      </w:r>
      <w:proofErr w:type="gramStart"/>
      <w:r w:rsidRPr="00BF73DD">
        <w:t>патронами</w:t>
      </w:r>
      <w:proofErr w:type="gramEnd"/>
      <w:r w:rsidRPr="00BF73DD">
        <w:t xml:space="preserve"> то ответственность наступает по части 1 статьи 15.37 КоАП Республики Беларусь и влечет наложение штрафа от 20- ти до 50-ти базовых величин с лишением специального права и охотничьего оружия.</w:t>
      </w:r>
    </w:p>
    <w:sectPr w:rsidR="00BF73DD" w:rsidRPr="00BF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EA"/>
    <w:rsid w:val="00254DEA"/>
    <w:rsid w:val="00B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9AF2"/>
  <w15:chartTrackingRefBased/>
  <w15:docId w15:val="{9E8D70C5-2705-416D-922C-BEACE230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2020-08-12T07:44:00Z</dcterms:created>
  <dcterms:modified xsi:type="dcterms:W3CDTF">2020-08-12T07:51:00Z</dcterms:modified>
</cp:coreProperties>
</file>