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71971" w14:textId="77777777" w:rsidR="006049EC" w:rsidRPr="002E5B8C" w:rsidRDefault="006049EC" w:rsidP="00604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ЭКОЛОГИЧЕСКАЯ КУЛЬТУРА – ОТВЕТСТВЕННОСТЬ КАЖДОГО</w:t>
      </w:r>
    </w:p>
    <w:p w14:paraId="0427DDE5" w14:textId="397E21F3" w:rsidR="006049EC" w:rsidRPr="002E5B8C" w:rsidRDefault="002E5B8C" w:rsidP="002E5B8C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(Материал подготовлен отделом архитектуры и строительства, жилищно-коммунального хозяйства Чашникского райисполкома и Чашникской районной инспекцией природных ресурсов и охраны окружающей среды)</w:t>
      </w:r>
    </w:p>
    <w:p w14:paraId="5BDE17B8" w14:textId="77777777" w:rsidR="002E5B8C" w:rsidRDefault="00F459DE" w:rsidP="008D6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Вопросы состояния окружающей среды и экологической безопасности давно перестали быть предметом интереса только в научной среде. На сегодняшний день они входят в число основных при определении качества жизни, интерес</w:t>
      </w:r>
      <w:r w:rsid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 каждого.</w:t>
      </w:r>
    </w:p>
    <w:p w14:paraId="603D1914" w14:textId="5714DAE5" w:rsidR="002E5B8C" w:rsidRPr="002E5B8C" w:rsidRDefault="002E5B8C" w:rsidP="002E5B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Водные ресурсы</w:t>
      </w:r>
    </w:p>
    <w:p w14:paraId="22F7ECE8" w14:textId="77777777" w:rsidR="002E5B8C" w:rsidRPr="002E5B8C" w:rsidRDefault="002E5B8C" w:rsidP="002E5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2018 года централизованными водоснабжением и водоотведением на территории Витебской области занимается УП «Витебскоблводоканал». На территории Чашникского района его структурное подразделение – водопроводно-канализационный участок №3 Чашникского района филиала «Лепельводоканал».</w:t>
      </w:r>
    </w:p>
    <w:p w14:paraId="1C48558D" w14:textId="77777777" w:rsidR="002E5B8C" w:rsidRPr="002E5B8C" w:rsidRDefault="002E5B8C" w:rsidP="002E5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обеспечивает в районе централизованным водоснабжением 25,6 тыс.человек (около 90% всего населения района), водоотведением 19,6 тыс.человек (около 69% всего населения района).</w:t>
      </w:r>
    </w:p>
    <w:p w14:paraId="72503CF0" w14:textId="6991F533" w:rsidR="002E5B8C" w:rsidRDefault="002E5B8C" w:rsidP="002E5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оказания данных услуг на балансе организации имеется: 2 водозаборных сооружения (г. Новолукомль, г. Чашники), 5 очистных сооружений (г. Новолукомль, г. Чашники, аг. Новая Заря, п. Красное Утро, п. Октябрьский), 18 канализационно-насосных станций, 16 станций обезжелезивания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17 водоочистных установок на артезианских скважинах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57 артезианских скважин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184,608 км сетей водоснабжения, 75,782 км сетей водоотведения (канализации)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462 водоразборные колонки и др. (водонапорные башни, пожарные гидранты, канализационные сети).</w:t>
      </w:r>
    </w:p>
    <w:p w14:paraId="0A525087" w14:textId="2FC92B86" w:rsidR="005968FB" w:rsidRDefault="005968FB" w:rsidP="002E5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населения качественной питьевой водой, соблюдения требований Водного кодекса Республики Беларусь, а также предупреждения фактов загрязнения источников водоснабжения,  в районе проведена работа по утверждению границ водоохранных зон и прибрежных полос водных объектов Чашникского района в соответствие требованиям статьи 52 Водного кодекса Республики Беларусь и реализации перечня мероприятий, направленных на сохранение и восстановление поверхностных водных объектов Чашникского района.</w:t>
      </w:r>
    </w:p>
    <w:p w14:paraId="3A2E71AA" w14:textId="3DABCE8B" w:rsidR="008D6DD6" w:rsidRPr="002E5B8C" w:rsidRDefault="008D6DD6" w:rsidP="002E5B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Обращение с отходами</w:t>
      </w:r>
    </w:p>
    <w:p w14:paraId="349DCBD5" w14:textId="77777777" w:rsidR="007B0153" w:rsidRDefault="00F63FFB" w:rsidP="007B01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Значимым результатом проводимой </w:t>
      </w:r>
      <w:r w:rsidR="003F692D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Чашникском районе 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является вывод</w:t>
      </w:r>
      <w:r w:rsidR="00AF230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230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предыдущие годы, 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эксплуатации вс</w:t>
      </w:r>
      <w:r w:rsidR="00AF230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ех </w:t>
      </w:r>
      <w:r w:rsidR="00EB039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54 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мини-полигонов для захоронения коммунальных отходов на территории сельской местности, которые не соответствовали требованиям </w:t>
      </w:r>
      <w:r w:rsidR="00AF230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природоохранного 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законодательства.</w:t>
      </w:r>
    </w:p>
    <w:p w14:paraId="3B2E1160" w14:textId="6A88DE07" w:rsidR="007B0153" w:rsidRPr="007B0153" w:rsidRDefault="007B0153" w:rsidP="007B0153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7B015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Решением Витебского облисполкома от 25.03.2026 № 242 «О мерах по реализации в 2026 году Государственной программы «Экология» на 2026-2030 годы» Чашникскому району предусмотрено финансирование на совершенствование системы обращения с коммунальными отходами, включая </w:t>
      </w:r>
      <w:r w:rsidRPr="007B015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lastRenderedPageBreak/>
        <w:t>их раздельный сбор и контейнерный сбор в секторе индивидуальной жилой застройки в объеме 300 000 руб. за счет средств ГУ «Оператор вторичных материальных ресурсов». Данные средства распределены УНП ЖКХ «Коммунальник» на приобретение мусоровоза с задней загрузкой.</w:t>
      </w:r>
    </w:p>
    <w:p w14:paraId="1E803B64" w14:textId="11163143" w:rsidR="007B0153" w:rsidRDefault="007B0153" w:rsidP="007B0153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7B015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В сфере переработки коммунальных отходов без персонального участия каждого дальнейший прогресс просто невозможен.</w:t>
      </w:r>
    </w:p>
    <w:p w14:paraId="69C7B53E" w14:textId="2B3B97D7" w:rsidR="007B0153" w:rsidRPr="007B0153" w:rsidRDefault="007B0153" w:rsidP="007B0153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7B015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В рамках реализации подпрограммы «Цель 99» за первое полугодие предприятиями и организациями района собрано (заготовлено) 520,4 тонн вторичных материальных ресурсов (далее – ВМР)</w:t>
      </w:r>
      <w:r w:rsidR="002D5469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</w:t>
      </w:r>
      <w:r w:rsidRPr="007B015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14:paraId="0F759194" w14:textId="77777777" w:rsidR="007B0153" w:rsidRDefault="007B0153" w:rsidP="007B0153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7B015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В соответствии с целевым показателем «Использование органической части твердых коммунальных отходов» в районе 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в </w:t>
      </w:r>
      <w:r w:rsidRPr="007B015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первом полугодии собрано 1216,3 тонн твердых коммунальных отходов.</w:t>
      </w:r>
    </w:p>
    <w:p w14:paraId="18ECE9C6" w14:textId="77777777" w:rsidR="007B0153" w:rsidRDefault="008D6DD6" w:rsidP="007B0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обращения с коммунальными отходами в районе определен схемой по обращению с коммунальными отходами, образующимися на территории Чашникского района.</w:t>
      </w:r>
    </w:p>
    <w:p w14:paraId="1E65933A" w14:textId="77777777" w:rsidR="007B0153" w:rsidRDefault="00F63FFB" w:rsidP="007B0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территории Чашникского района непригодных пестицидов не имеется.</w:t>
      </w:r>
    </w:p>
    <w:p w14:paraId="7C902893" w14:textId="2C2649CB" w:rsidR="008D6DD6" w:rsidRPr="002E5B8C" w:rsidRDefault="007B0153" w:rsidP="007B01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8D6DD6" w:rsidRPr="002E5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тмосферный воздух</w:t>
      </w:r>
    </w:p>
    <w:p w14:paraId="5C761ED0" w14:textId="302273BE" w:rsidR="008D6DD6" w:rsidRPr="002E5B8C" w:rsidRDefault="008D6DD6" w:rsidP="007B0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решения задачи по сокращению выбросов загрязняющих веществ в атмосферный воздух от стационарных и мобильных источников выбросов, улучшению экологической обстановки</w:t>
      </w:r>
      <w:r w:rsidR="007B0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Чашникском районе проведена следующая работа:</w:t>
      </w:r>
    </w:p>
    <w:p w14:paraId="3A88E974" w14:textId="208E12AB" w:rsidR="008D6DD6" w:rsidRPr="002E5B8C" w:rsidRDefault="00EB0396" w:rsidP="007B0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ЖКХ г.Чашники проведены работы по модернизации котельных с заменой отопительных котлов на более энергоэффективные</w:t>
      </w:r>
      <w:r w:rsidR="005968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E72756" w14:textId="6570D603" w:rsidR="008D6DD6" w:rsidRPr="002E5B8C" w:rsidRDefault="00EB0396" w:rsidP="007B0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Филиалом Лукомльская ГРЭС» РУП «Витебскэнерго» в целях снижения влияния на экологические системы проведены следующие мероприятия:</w:t>
      </w:r>
      <w:r w:rsidR="007B0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окальный мониторинг выбросов загрязняющих веществ от основных стационарных источников в атмосферный воздух</w:t>
      </w:r>
      <w:r w:rsidR="007B0153">
        <w:rPr>
          <w:rFonts w:ascii="Times New Roman" w:eastAsia="Times New Roman" w:hAnsi="Times New Roman" w:cs="Times New Roman"/>
          <w:sz w:val="28"/>
          <w:szCs w:val="28"/>
          <w:lang w:eastAsia="ru-RU"/>
        </w:rPr>
        <w:t>; п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инвентаризации выбросов загрязняющих веществ в атмосферный воздух, установление нормативов допустимых выбросов</w:t>
      </w:r>
      <w:r w:rsidR="0059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14:paraId="192EE2CD" w14:textId="487FB15E" w:rsidR="008D6DD6" w:rsidRPr="002E5B8C" w:rsidRDefault="005968FB" w:rsidP="0059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ОАО «Завод керамзитового гравия г.Новолукомль» в целях снижения влияния на экологические системы на постоянной основе проводятся следующие мероприятия: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окальный мониторинг выбросов загрязняющих веществ от основных стационарных источников в атмосферный воздух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риобретение и обслуживание газоочистного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Установленная система электрических фильтров позволяет улавливать 98% выбросов пыли и других загрязняющих веществ в атмосферный воздух, с последующим использованием их в технологическом процессе.</w:t>
      </w:r>
    </w:p>
    <w:p w14:paraId="70B2BCB5" w14:textId="77777777" w:rsidR="008D6DD6" w:rsidRPr="002E5B8C" w:rsidRDefault="008D6DD6" w:rsidP="008D6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5DEC46" w14:textId="53978D98" w:rsidR="00746502" w:rsidRPr="002E5B8C" w:rsidRDefault="00BA41BA" w:rsidP="005968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</w:p>
    <w:p w14:paraId="5BC8AB31" w14:textId="673FFEE4" w:rsidR="008D6DD6" w:rsidRPr="002E5B8C" w:rsidRDefault="008D6DD6" w:rsidP="008D6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F39BB2" w14:textId="77777777" w:rsidR="005968FB" w:rsidRDefault="008D6DD6" w:rsidP="005968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Особо охраняемые природные территории</w:t>
      </w:r>
      <w:r w:rsidR="0059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593144C" w14:textId="6528802E" w:rsidR="00746502" w:rsidRPr="002E5B8C" w:rsidRDefault="008D6DD6" w:rsidP="005968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Минерально-сырьевые ресурсы</w:t>
      </w:r>
    </w:p>
    <w:p w14:paraId="11BD1A84" w14:textId="77777777" w:rsidR="005968FB" w:rsidRDefault="00746502" w:rsidP="008D6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района имеется 4 заказника местного значения, общей площадью 242,2 га и 3 памятника природы местного значения, общей площадью 3,5 га</w:t>
      </w:r>
      <w:r w:rsidR="001C27C9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, 16 биотопов.</w:t>
      </w:r>
    </w:p>
    <w:p w14:paraId="2045B71B" w14:textId="783B3069" w:rsidR="005968FB" w:rsidRDefault="008D6DD6" w:rsidP="0059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района свою деятельность по добыче общераспространенных полезных ископаемых осуществля</w:t>
      </w:r>
      <w:r w:rsidR="00746502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746502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8EDE93B" w14:textId="07A7AF34" w:rsidR="008D6DD6" w:rsidRPr="002E5B8C" w:rsidRDefault="00746502" w:rsidP="0059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12B6A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Кричевцементношифер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Для производства заводу предоставлено 14 земельных участков общей площадью 42,355 га, из них 9 участков общей площадью 36,505 га под карьером для добычи полезных ископаемых и 5 участков площадью 5,85 га для обслуживания производственной базы и другие нужды. </w:t>
      </w:r>
    </w:p>
    <w:p w14:paraId="2047A65A" w14:textId="6EBF6133" w:rsidR="00D12B6A" w:rsidRPr="002E5B8C" w:rsidRDefault="00D12B6A" w:rsidP="0059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ОАО «Завод керамзитового гравия г.Новолукомль» разрабатывает месторождение глин «Лукомль-1»</w:t>
      </w:r>
      <w:r w:rsidR="005968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C48CF85" w14:textId="1CA1DA22" w:rsidR="008D6DD6" w:rsidRPr="002E5B8C" w:rsidRDefault="008D6DD6" w:rsidP="0059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12B6A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«Завод по производству удобрений» </w:t>
      </w:r>
      <w:r w:rsidR="00D12B6A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 добычу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сапропелей</w:t>
      </w:r>
      <w:r w:rsidR="00D12B6A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</w:t>
      </w:r>
      <w:r w:rsidR="00D12B6A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лях 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водными объектами, распол</w:t>
      </w:r>
      <w:r w:rsidR="00D12B6A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гаем</w:t>
      </w:r>
      <w:r w:rsidR="00D12B6A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южной части месторождения Жеринское</w:t>
      </w:r>
      <w:r w:rsidR="00D12B6A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2B6A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площадью 228,4 га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годовая производительность по добыче сапропеля состав</w:t>
      </w:r>
      <w:r w:rsidR="00746502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</w:t>
      </w:r>
      <w:r w:rsidR="00D12B6A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000 т</w:t>
      </w:r>
      <w:r w:rsidR="00746502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сапропелевых удобрений</w:t>
      </w:r>
      <w:r w:rsidR="00D12B6A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условной влажности 60%. Балансовые запасы сапропеля в пределах проектируемого горного отвода составляет 12526,6 тыс. м3 или 2797,7 тыс.т. Потенциальными потребителями явля</w:t>
      </w:r>
      <w:r w:rsidR="00746502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сельскохозяйственные предприятия региона, предприятия и организации ближнего и дальнего зарубежья. Проектные сроки пользования недрами – 56 лет. </w:t>
      </w:r>
    </w:p>
    <w:p w14:paraId="057878AE" w14:textId="486B79B5" w:rsidR="008D6DD6" w:rsidRPr="002E5B8C" w:rsidRDefault="00746502" w:rsidP="0059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ЧП «ЛукомльГруппгарант» производит разработку месторождения песчано-гравийно-валунного материала «Занивочье» площадью 6,5040</w:t>
      </w:r>
      <w:r w:rsidR="0059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га.  </w:t>
      </w:r>
      <w:r w:rsidR="0059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Предприятие 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выпускает бетон</w:t>
      </w:r>
      <w:r w:rsidR="0059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растворы бетонные.  Выпускаемая продукция реализуется на внутреннем рынке. Потребителями являются </w:t>
      </w:r>
      <w:r w:rsidR="0059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8D6DD6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строительные организации, так и физические лица. </w:t>
      </w:r>
      <w:r w:rsidR="00D12B6A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B09112" w14:textId="658695AC" w:rsidR="001C3268" w:rsidRPr="002E5B8C" w:rsidRDefault="00746502" w:rsidP="0059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2E5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Благоустройство</w:t>
      </w:r>
      <w:r w:rsidR="001C3268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14:paraId="6A7ED016" w14:textId="283CF02B" w:rsidR="005968FB" w:rsidRPr="005968FB" w:rsidRDefault="001C3268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68FB"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В целях развития населенных пунктов и повышения уровня и качества жизни людей, решением Чашникского районного исполнительного комитета от 27.02.2026 №115 утверждены мероприятия по наведению порядка на земле и благоустройству населенных пунктов Чашникского района на 2026 год (далее – план мероприятий). </w:t>
      </w:r>
    </w:p>
    <w:p w14:paraId="1E01DBD2" w14:textId="0D5F2DC8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По итогам 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первого </w:t>
      </w: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полугодия 2026 года выполнен значительный объем работ по благоустройству объектов и прилегающих территорий. </w:t>
      </w:r>
    </w:p>
    <w:p w14:paraId="485ADC7B" w14:textId="77777777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Так, в соответствии с планом, в районе:</w:t>
      </w:r>
    </w:p>
    <w:p w14:paraId="60C948AD" w14:textId="13E65647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производится озеленение территорий (высадка деревьев, кустарников, цветов, реконструкция газонов);</w:t>
      </w:r>
    </w:p>
    <w:p w14:paraId="24F60791" w14:textId="77777777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отремонтировано 18,2 тыс. кв.м. улично-дорожной сети (в т.ч. произведена укладка асфальтобетонного покрытия по г. Новолукомль: ул. Заводская, ул. Панчука; по аг. Иванск: ул. Спортивная, ул. Почтовая, ул. Молодежная);</w:t>
      </w:r>
    </w:p>
    <w:p w14:paraId="0D8CFCAD" w14:textId="77777777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отремонтировано 2 и ликвидирован 1 заброшенный и не подлежащий дальнейшему использованию шахтный колодец;</w:t>
      </w:r>
    </w:p>
    <w:p w14:paraId="74C638C2" w14:textId="0688A2C2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lastRenderedPageBreak/>
        <w:t>снесено 7 пустующих и ветхих арендных жилых дома, не заселенных более 6 месяцев (по плану на полугодие - 3);</w:t>
      </w:r>
    </w:p>
    <w:p w14:paraId="737C685A" w14:textId="77777777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снесено 39 пустующих жилых дома в населенных пунктах района (на полугодие план по сносу – 28 домов), продано - 4. В хозяйственный оборот земельных участков после сноса пустующих домов вовлечено 4,19 га земель;</w:t>
      </w:r>
    </w:p>
    <w:p w14:paraId="06BC4AE5" w14:textId="77777777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обустроено (отремонтировано) 21 контейнерная площадка для сбора коммунальных отходов;</w:t>
      </w:r>
    </w:p>
    <w:p w14:paraId="0091F2F6" w14:textId="77777777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обустроено 2 контейнерных площадки для сбора коммунальных отходов местами для сбора крупногабаритных отходов;</w:t>
      </w:r>
    </w:p>
    <w:p w14:paraId="7A226A95" w14:textId="77777777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установлено (отремонтировано) 42 контейнера для сбора коммунальных отходов, в т.ч. 5 для раздельного сбора отходов;</w:t>
      </w:r>
    </w:p>
    <w:p w14:paraId="155FBE35" w14:textId="77777777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произведена установка 20 малых архитектурных форм;</w:t>
      </w:r>
    </w:p>
    <w:p w14:paraId="1510C1CF" w14:textId="77777777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отремонтировано 15 детских игровых площадок;</w:t>
      </w:r>
    </w:p>
    <w:p w14:paraId="3EE7F1C6" w14:textId="77777777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выполнены работы по поддержанию в надлежащем состоянии и обустройство 40 территорий мест погребения;</w:t>
      </w:r>
    </w:p>
    <w:p w14:paraId="63330F05" w14:textId="0E43255F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обустроены (отремонтированы) ограждения 3 места погребения (кладбищ г.Чашники по ул. Луначарского и ул. Фрунзе, д. Столбцы);</w:t>
      </w:r>
    </w:p>
    <w:p w14:paraId="38D427B5" w14:textId="77777777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оборудовано 5 площадок для сбора отходов на местах погребения с установкой контейнеров для сбора отходов на местах погребения;</w:t>
      </w:r>
    </w:p>
    <w:p w14:paraId="3C4DD74F" w14:textId="77777777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произведена санитарная очистка и благоустройство поверхностных водных объектов на территориях 2 общественных пляжей в г. Чашники и г.Новолукомль, а также их благоустройство;</w:t>
      </w:r>
    </w:p>
    <w:p w14:paraId="1149D415" w14:textId="77777777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на территориях общественных пляжей в г. Чашники и г.Новолукомль установлено (отремонтировано) 10 малых архитектурных форм и 2 информационных знака, произведена установка 6 контейнеров для сбора отходов;</w:t>
      </w:r>
    </w:p>
    <w:p w14:paraId="5859F00F" w14:textId="561C5D73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ликвидировано 5 неэксплуатируемых водоразборных колонок в населенных пунктах района</w:t>
      </w:r>
      <w:r w:rsidR="00B3757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065BBC6A" w14:textId="1939DD0C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Лесохозяйственными организациями проведены запланированные санитарные рубки (99,2 га), уборка отходов в лесном фонде, в т.ч. на территориях, прилегающих к местам отдыха, площадкам вдоль автомобильных дорог на территории 15 га. Выявлено и убрано 30 несанкционированных свалок на территории лесного фонда. Проведена расчистка ветровально-буреломных насаждений по всем видам санитарно-оздоровительных мероприятий на территории 3,5 га. Выполнено лесовосстановление на поврежденных участках ветровально-буреломных насаждений на территории 76 га.</w:t>
      </w:r>
    </w:p>
    <w:p w14:paraId="0857E86E" w14:textId="77777777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По сельскохозяйственным объектам выполнено:</w:t>
      </w:r>
    </w:p>
    <w:p w14:paraId="2F7C8719" w14:textId="5BE1C7C9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обустройство (ограждение, установка информационных указателей) площадок для временного хранения металлолома и изношенных шин на машинных дворах ОАО «Ведренское-Агро» в аг. Малая Ведрень и ОАО «Дворец труда-Агро» в аг. Дворец;</w:t>
      </w:r>
    </w:p>
    <w:p w14:paraId="57579A54" w14:textId="2931706E" w:rsidR="005968FB" w:rsidRPr="005968FB" w:rsidRDefault="005968FB" w:rsidP="005968F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968F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установка контейнеров для сбора отходов, в том числе раздельного сбора отходов и отработанных масел, на машинном дворе ОАО «Иванский-Агро» в аг. Иванск</w:t>
      </w:r>
      <w:r w:rsidR="00B3757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20BA2EE4" w14:textId="6C5C618A" w:rsidR="001C3268" w:rsidRPr="002E5B8C" w:rsidRDefault="001C3268" w:rsidP="001C32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746502"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планом мероприятий за истекший период 2026</w:t>
      </w:r>
      <w:r w:rsidR="00B37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населенных пунктах района проведены работы по посадке 250 деревьев и 470 кустарников, устройству и реконструкции газонов на площади 0,3</w:t>
      </w:r>
      <w:r w:rsidR="00B37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га, высадке цветов в количестве 37 000 штук</w:t>
      </w:r>
      <w:r w:rsidR="00B375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1A5A205" w14:textId="2F16E9FD" w:rsidR="001C3268" w:rsidRPr="002E5B8C" w:rsidRDefault="001C3268" w:rsidP="001C32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Проведены работы по регулированию численности борщевика Сосновского на всех имеющихся местах произрастания, включая работы</w:t>
      </w:r>
      <w:r w:rsidR="00B375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проведенные с использованием химического метода на территории земель общего пользования д.Рыжанки и сельскохозяйственных земель ОАО «Ведренское-Агро» общей площадью 1,05 га. </w:t>
      </w:r>
    </w:p>
    <w:p w14:paraId="43A1C625" w14:textId="506E1AFA" w:rsidR="00933E0F" w:rsidRPr="002E5B8C" w:rsidRDefault="00933E0F" w:rsidP="00933E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Чашникском районе проводится работа по экологическому воспитанию, пропаганде экологических знаний, привлечению общественности к принятию экологически значимых решений. В целях наведения порядка и благоустройства на территории района проводятся</w:t>
      </w:r>
      <w:r w:rsidR="00B37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определенные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и акции: месячники по благоустройству и наведению порядка, республиканский и местные субботники, акции «Неделя леса», «День без автомобиля», «Чистый лес», «Чистый водоем», «Чистый двор», «Обустроим малую родину», «Беларусь синеокая» и др.</w:t>
      </w:r>
    </w:p>
    <w:p w14:paraId="69BC3F12" w14:textId="5FDB147C" w:rsidR="006049EC" w:rsidRPr="002E5B8C" w:rsidRDefault="00933E0F" w:rsidP="00933E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Фактов массовой гибели рыбы, значительных лесных пожаров и других фактов существенного ухудшения экологической обстановки в регионе не устанавливалось.</w:t>
      </w:r>
      <w:r w:rsidR="00CF3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5B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Проводимые в районе природоохранные мероприятия позволили обеспечить стабильное экологическое состояние природных экосистем.</w:t>
      </w:r>
    </w:p>
    <w:sectPr w:rsidR="006049EC" w:rsidRPr="002E5B8C" w:rsidSect="00F27B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E24C5" w14:textId="77777777" w:rsidR="00132EEE" w:rsidRDefault="00132EEE">
      <w:pPr>
        <w:spacing w:after="0" w:line="240" w:lineRule="auto"/>
      </w:pPr>
      <w:r>
        <w:separator/>
      </w:r>
    </w:p>
  </w:endnote>
  <w:endnote w:type="continuationSeparator" w:id="0">
    <w:p w14:paraId="493ABE8C" w14:textId="77777777" w:rsidR="00132EEE" w:rsidRDefault="00132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F17D" w14:textId="77777777" w:rsidR="00000000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4341D" w14:textId="77777777" w:rsidR="00000000" w:rsidRDefault="0000000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D0AD5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18967" w14:textId="77777777" w:rsidR="00132EEE" w:rsidRDefault="00132EEE">
      <w:pPr>
        <w:spacing w:after="0" w:line="240" w:lineRule="auto"/>
      </w:pPr>
      <w:r>
        <w:separator/>
      </w:r>
    </w:p>
  </w:footnote>
  <w:footnote w:type="continuationSeparator" w:id="0">
    <w:p w14:paraId="6E0394B3" w14:textId="77777777" w:rsidR="00132EEE" w:rsidRDefault="00132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8B93B" w14:textId="77777777" w:rsidR="00000000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9445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38BF0488" w14:textId="77777777" w:rsidR="00000000" w:rsidRPr="000E47E6" w:rsidRDefault="006049EC" w:rsidP="000E47E6">
        <w:pPr>
          <w:pStyle w:val="a3"/>
          <w:jc w:val="center"/>
          <w:rPr>
            <w:sz w:val="22"/>
            <w:szCs w:val="22"/>
          </w:rPr>
        </w:pPr>
        <w:r w:rsidRPr="000E47E6">
          <w:rPr>
            <w:sz w:val="22"/>
            <w:szCs w:val="22"/>
          </w:rPr>
          <w:fldChar w:fldCharType="begin"/>
        </w:r>
        <w:r w:rsidRPr="000E47E6">
          <w:rPr>
            <w:sz w:val="22"/>
            <w:szCs w:val="22"/>
          </w:rPr>
          <w:instrText>PAGE   \* MERGEFORMAT</w:instrText>
        </w:r>
        <w:r w:rsidRPr="000E47E6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8</w:t>
        </w:r>
        <w:r w:rsidRPr="000E47E6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6C6E" w14:textId="77777777" w:rsidR="00000000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388"/>
    <w:multiLevelType w:val="hybridMultilevel"/>
    <w:tmpl w:val="C1767694"/>
    <w:lvl w:ilvl="0" w:tplc="13C487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3D59F5"/>
    <w:multiLevelType w:val="hybridMultilevel"/>
    <w:tmpl w:val="C25CD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803455">
    <w:abstractNumId w:val="1"/>
  </w:num>
  <w:num w:numId="2" w16cid:durableId="256910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FD1"/>
    <w:rsid w:val="000B3866"/>
    <w:rsid w:val="00132EEE"/>
    <w:rsid w:val="001C27C9"/>
    <w:rsid w:val="001C3268"/>
    <w:rsid w:val="002B6BE1"/>
    <w:rsid w:val="002D5469"/>
    <w:rsid w:val="002D57E7"/>
    <w:rsid w:val="002E5B8C"/>
    <w:rsid w:val="0031439A"/>
    <w:rsid w:val="003E4538"/>
    <w:rsid w:val="003F692D"/>
    <w:rsid w:val="005968FB"/>
    <w:rsid w:val="006016F3"/>
    <w:rsid w:val="006049EC"/>
    <w:rsid w:val="00746502"/>
    <w:rsid w:val="007B0153"/>
    <w:rsid w:val="007B71DC"/>
    <w:rsid w:val="008D6DD6"/>
    <w:rsid w:val="00933E0F"/>
    <w:rsid w:val="009E1FD1"/>
    <w:rsid w:val="00AF2306"/>
    <w:rsid w:val="00B37576"/>
    <w:rsid w:val="00BA41BA"/>
    <w:rsid w:val="00CF3EFB"/>
    <w:rsid w:val="00D12B6A"/>
    <w:rsid w:val="00E77B27"/>
    <w:rsid w:val="00EB0396"/>
    <w:rsid w:val="00EE745A"/>
    <w:rsid w:val="00F459DE"/>
    <w:rsid w:val="00F6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580A7"/>
  <w15:chartTrackingRefBased/>
  <w15:docId w15:val="{5BA1B8F7-AA9E-430D-B90C-CE72A2D7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9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049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049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049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 Знак Знак Знак Знак Знак"/>
    <w:basedOn w:val="a"/>
    <w:next w:val="a"/>
    <w:autoRedefine/>
    <w:rsid w:val="001C32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styleId="a8">
    <w:name w:val="Balloon Text"/>
    <w:basedOn w:val="a"/>
    <w:link w:val="a9"/>
    <w:uiPriority w:val="99"/>
    <w:semiHidden/>
    <w:unhideWhenUsed/>
    <w:rsid w:val="003F6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9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3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1686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Алла Баранова</cp:lastModifiedBy>
  <cp:revision>6</cp:revision>
  <cp:lastPrinted>2026-08-18T07:49:00Z</cp:lastPrinted>
  <dcterms:created xsi:type="dcterms:W3CDTF">2026-08-17T07:54:00Z</dcterms:created>
  <dcterms:modified xsi:type="dcterms:W3CDTF">2026-08-18T07:56:00Z</dcterms:modified>
</cp:coreProperties>
</file>